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CF" w:rsidRDefault="000C00CF" w:rsidP="000C00CF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0C00CF" w:rsidRDefault="000C00CF" w:rsidP="000C00CF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7B5180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943A253" wp14:editId="22B70A25">
            <wp:simplePos x="0" y="0"/>
            <wp:positionH relativeFrom="page">
              <wp:posOffset>3629025</wp:posOffset>
            </wp:positionH>
            <wp:positionV relativeFrom="paragraph">
              <wp:posOffset>27940</wp:posOffset>
            </wp:positionV>
            <wp:extent cx="761365" cy="579120"/>
            <wp:effectExtent l="0" t="0" r="63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0CF" w:rsidRPr="007B5180" w:rsidRDefault="000C00CF" w:rsidP="000C00CF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0C00CF" w:rsidRPr="00835206" w:rsidRDefault="000C00CF" w:rsidP="000C00CF">
      <w:pPr>
        <w:keepNext/>
        <w:tabs>
          <w:tab w:val="left" w:pos="0"/>
          <w:tab w:val="left" w:pos="448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(52</w:t>
      </w:r>
      <w:r w:rsidRPr="00835206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0C00CF" w:rsidRDefault="000C00CF" w:rsidP="000C00CF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</w:p>
    <w:p w:rsidR="000C00CF" w:rsidRPr="00317887" w:rsidRDefault="000C00CF" w:rsidP="000C00CF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COMMUNITY</w:t>
      </w:r>
    </w:p>
    <w:p w:rsidR="000C00CF" w:rsidRPr="007B5180" w:rsidRDefault="000C00CF" w:rsidP="000C00CF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LEGISLATIVE ASSEMBLY</w:t>
      </w:r>
    </w:p>
    <w:p w:rsidR="000C00CF" w:rsidRPr="007B5180" w:rsidRDefault="000C00CF" w:rsidP="000C00CF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0C00CF" w:rsidRPr="007B5180" w:rsidRDefault="000C00CF" w:rsidP="000C00CF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SIXTH MEETING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SECOND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FOURTH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ASSEMBLY</w:t>
      </w:r>
    </w:p>
    <w:p w:rsidR="000C00CF" w:rsidRPr="007B5180" w:rsidRDefault="000C00CF" w:rsidP="000C00CF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0C00CF" w:rsidRPr="00E33070" w:rsidRDefault="000C00CF" w:rsidP="000C00CF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val="en-GB"/>
        </w:rPr>
      </w:pPr>
      <w:r w:rsidRPr="00E33070">
        <w:rPr>
          <w:rFonts w:ascii="Tahoma" w:eastAsia="Calibri" w:hAnsi="Tahoma" w:cs="Tahoma"/>
          <w:b/>
          <w:sz w:val="32"/>
          <w:szCs w:val="32"/>
          <w:lang w:val="en-GB"/>
        </w:rPr>
        <w:t>ORDERS OF THE DAY</w:t>
      </w:r>
    </w:p>
    <w:p w:rsidR="000C00CF" w:rsidRPr="007B5180" w:rsidRDefault="000C00CF" w:rsidP="000C00CF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0C00CF" w:rsidRPr="005638DA" w:rsidRDefault="000C00CF" w:rsidP="000C00CF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THURSDAY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27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201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10.0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0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A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bCs/>
          <w:sz w:val="25"/>
          <w:szCs w:val="25"/>
          <w:lang w:val="en-GB"/>
        </w:rPr>
        <w:t>PRAYER</w:t>
      </w: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1"/>
        </w:numPr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bCs/>
          <w:sz w:val="25"/>
          <w:szCs w:val="25"/>
          <w:lang w:val="en-GB"/>
        </w:rPr>
        <w:t>COMMUNICATION FROM THE CHAIR</w:t>
      </w:r>
    </w:p>
    <w:p w:rsidR="000C00CF" w:rsidRPr="00A06993" w:rsidRDefault="000C00CF" w:rsidP="000C00CF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>CONSIDERATION AND APPROVAL OF THE BUDGET OF THE EAST AFRICAN COMMUNITY FOR THE FINANCIAL YEAR 2019/2020</w:t>
      </w:r>
    </w:p>
    <w:p w:rsidR="000C00CF" w:rsidRPr="00A06993" w:rsidRDefault="000C00CF" w:rsidP="000C00C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</w:p>
    <w:p w:rsidR="000C00CF" w:rsidRPr="00A06993" w:rsidRDefault="000C00CF" w:rsidP="000C00C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>MOTION</w:t>
      </w:r>
    </w:p>
    <w:p w:rsidR="000C00CF" w:rsidRPr="00A06993" w:rsidRDefault="000C00CF" w:rsidP="000C00C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</w:p>
    <w:p w:rsidR="000C00CF" w:rsidRPr="00A06993" w:rsidRDefault="000C00CF" w:rsidP="000C00C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>“</w:t>
      </w: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>THAT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>, This Assembly do resolve itself into:</w:t>
      </w:r>
    </w:p>
    <w:p w:rsidR="000C00CF" w:rsidRPr="00A06993" w:rsidRDefault="000C00CF" w:rsidP="000C00C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2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>A Committee of Ways and Means to</w:t>
      </w: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 xml:space="preserve"> 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>consider and approve the Financial Statement for the Financial Year 2019/2020; and</w:t>
      </w:r>
    </w:p>
    <w:p w:rsidR="000C00CF" w:rsidRPr="00A06993" w:rsidRDefault="000C00CF" w:rsidP="000C00CF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2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>A Committee of Supply to consider and approve the Estimates of Expenditure for the Financial Year 2019/2020.</w:t>
      </w:r>
    </w:p>
    <w:p w:rsidR="000C00CF" w:rsidRPr="00A06993" w:rsidRDefault="000C00CF" w:rsidP="000C00CF">
      <w:pPr>
        <w:spacing w:after="0" w:line="240" w:lineRule="auto"/>
        <w:contextualSpacing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spacing w:after="0" w:line="240" w:lineRule="auto"/>
        <w:jc w:val="center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 xml:space="preserve"> (Chairperson, Council of Ministers)</w:t>
      </w:r>
    </w:p>
    <w:p w:rsidR="000C00CF" w:rsidRPr="00A06993" w:rsidRDefault="000C00CF" w:rsidP="000C00CF">
      <w:pPr>
        <w:spacing w:after="0" w:line="240" w:lineRule="auto"/>
        <w:rPr>
          <w:rFonts w:ascii="Tahoma" w:eastAsia="Times New Roman" w:hAnsi="Tahoma" w:cs="Tahoma"/>
          <w:bCs/>
          <w:i/>
          <w:sz w:val="25"/>
          <w:szCs w:val="25"/>
          <w:lang w:val="en-GB"/>
        </w:rPr>
      </w:pPr>
    </w:p>
    <w:p w:rsidR="000C00CF" w:rsidRPr="00A06993" w:rsidRDefault="000C00CF" w:rsidP="000C00CF">
      <w:pPr>
        <w:spacing w:after="0" w:line="240" w:lineRule="auto"/>
        <w:rPr>
          <w:rFonts w:ascii="Tahoma" w:eastAsia="Times New Roman" w:hAnsi="Tahoma" w:cs="Tahoma"/>
          <w:bCs/>
          <w:i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Cs/>
          <w:i/>
          <w:sz w:val="25"/>
          <w:szCs w:val="25"/>
          <w:lang w:val="en-GB"/>
        </w:rPr>
        <w:t>Resumption of debate interrupted on Tuesday 25</w:t>
      </w:r>
      <w:r w:rsidRPr="00A06993">
        <w:rPr>
          <w:rFonts w:ascii="Tahoma" w:eastAsia="Times New Roman" w:hAnsi="Tahoma" w:cs="Tahoma"/>
          <w:bCs/>
          <w:i/>
          <w:sz w:val="25"/>
          <w:szCs w:val="25"/>
          <w:vertAlign w:val="superscript"/>
          <w:lang w:val="en-GB"/>
        </w:rPr>
        <w:t>th</w:t>
      </w:r>
      <w:r w:rsidRPr="00A06993">
        <w:rPr>
          <w:rFonts w:ascii="Tahoma" w:eastAsia="Times New Roman" w:hAnsi="Tahoma" w:cs="Tahoma"/>
          <w:bCs/>
          <w:i/>
          <w:sz w:val="25"/>
          <w:szCs w:val="25"/>
          <w:lang w:val="en-GB"/>
        </w:rPr>
        <w:t xml:space="preserve"> June, 2019</w:t>
      </w:r>
    </w:p>
    <w:p w:rsidR="000C00CF" w:rsidRPr="00A06993" w:rsidRDefault="000C00CF" w:rsidP="000C00CF">
      <w:pPr>
        <w:spacing w:after="0" w:line="240" w:lineRule="auto"/>
        <w:rPr>
          <w:rFonts w:ascii="Tahoma" w:eastAsia="Times New Roman" w:hAnsi="Tahoma" w:cs="Tahoma"/>
          <w:bCs/>
          <w:i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>Committee of Ways and Means and Committee of Supply</w:t>
      </w:r>
    </w:p>
    <w:p w:rsidR="000C00CF" w:rsidRPr="00A06993" w:rsidRDefault="000C00CF" w:rsidP="000C00CF">
      <w:pPr>
        <w:spacing w:after="0" w:line="240" w:lineRule="auto"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3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 Motion for approval of the Financial Statement for Financial Year 2019/2020</w:t>
      </w:r>
    </w:p>
    <w:p w:rsidR="000C00CF" w:rsidRPr="00A06993" w:rsidRDefault="000C00CF" w:rsidP="000C00CF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3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 Approval of Budgetary Estimates for Financial Year 2019/2020</w:t>
      </w:r>
    </w:p>
    <w:p w:rsidR="000C00CF" w:rsidRPr="00A06993" w:rsidRDefault="000C00CF" w:rsidP="000C00CF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3"/>
        </w:numPr>
        <w:spacing w:after="0" w:line="240" w:lineRule="auto"/>
        <w:ind w:hanging="371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 Motion for the House to Resume</w:t>
      </w:r>
    </w:p>
    <w:p w:rsidR="000C00CF" w:rsidRPr="00A06993" w:rsidRDefault="000C00CF" w:rsidP="000C00CF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3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>Report of the Committee of Ways and Means and Committee of Supply</w:t>
      </w:r>
    </w:p>
    <w:p w:rsidR="000C00CF" w:rsidRPr="00A06993" w:rsidRDefault="000C00CF" w:rsidP="000C00CF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3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 Motion for adoption of the Report of the Committee</w:t>
      </w:r>
    </w:p>
    <w:p w:rsidR="000C00CF" w:rsidRPr="00A06993" w:rsidRDefault="000C00CF" w:rsidP="000C00CF">
      <w:pPr>
        <w:spacing w:after="0" w:line="240" w:lineRule="auto"/>
        <w:rPr>
          <w:rFonts w:ascii="Tahoma" w:eastAsia="Times New Roman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spacing w:after="0" w:line="240" w:lineRule="auto"/>
        <w:jc w:val="center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 xml:space="preserve"> (Chairperson, Council of Ministers)</w:t>
      </w:r>
    </w:p>
    <w:p w:rsidR="000C00CF" w:rsidRPr="00A06993" w:rsidRDefault="000C00CF" w:rsidP="000C00CF">
      <w:pPr>
        <w:spacing w:after="0" w:line="240" w:lineRule="auto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40" w:lineRule="auto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THE EAST AFRICAN COMMUNITY APPROPRIATION BILL, 2019</w:t>
      </w:r>
    </w:p>
    <w:p w:rsidR="000C00CF" w:rsidRPr="00A06993" w:rsidRDefault="000C00CF" w:rsidP="000C00CF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5"/>
          <w:szCs w:val="25"/>
          <w:lang w:val="en-GB"/>
        </w:rPr>
      </w:pPr>
    </w:p>
    <w:p w:rsidR="000C00CF" w:rsidRPr="00A06993" w:rsidRDefault="000C00CF" w:rsidP="000C00CF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bCs/>
          <w:sz w:val="25"/>
          <w:szCs w:val="25"/>
          <w:lang w:val="en-GB"/>
        </w:rPr>
        <w:t>(Second Reading)</w:t>
      </w:r>
    </w:p>
    <w:p w:rsidR="000C00CF" w:rsidRPr="00A06993" w:rsidRDefault="000C00CF" w:rsidP="000C00CF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MOTION</w:t>
      </w:r>
    </w:p>
    <w:p w:rsidR="000C00CF" w:rsidRPr="00A06993" w:rsidRDefault="000C00CF" w:rsidP="000C00CF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 xml:space="preserve">“THAT, </w:t>
      </w:r>
      <w:r w:rsidRPr="00A06993">
        <w:rPr>
          <w:rFonts w:ascii="Tahoma" w:eastAsia="Calibri" w:hAnsi="Tahoma" w:cs="Tahoma"/>
          <w:sz w:val="25"/>
          <w:szCs w:val="25"/>
          <w:lang w:val="en-GB"/>
        </w:rPr>
        <w:t>The East African Community Appropriation Bill, 2019 be read for the Second Time”.</w:t>
      </w: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(Chairperson, Council of Ministers)</w:t>
      </w: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hanging="1080"/>
        <w:contextualSpacing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BILL COMMITTEE STAGE</w:t>
      </w:r>
    </w:p>
    <w:p w:rsidR="000C00CF" w:rsidRPr="00A06993" w:rsidRDefault="000C00CF" w:rsidP="000C00CF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sz w:val="25"/>
          <w:szCs w:val="25"/>
          <w:lang w:val="en-GB"/>
        </w:rPr>
        <w:t>Adoption of Bill clause by clause</w:t>
      </w:r>
    </w:p>
    <w:p w:rsidR="000C00CF" w:rsidRPr="00A06993" w:rsidRDefault="000C00CF" w:rsidP="000C00CF">
      <w:pPr>
        <w:numPr>
          <w:ilvl w:val="0"/>
          <w:numId w:val="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sz w:val="25"/>
          <w:szCs w:val="25"/>
          <w:lang w:val="en-GB"/>
        </w:rPr>
        <w:t>Motion for the House to Resume</w:t>
      </w:r>
    </w:p>
    <w:p w:rsidR="000C00CF" w:rsidRPr="00A06993" w:rsidRDefault="000C00CF" w:rsidP="000C00CF">
      <w:pPr>
        <w:numPr>
          <w:ilvl w:val="0"/>
          <w:numId w:val="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sz w:val="25"/>
          <w:szCs w:val="25"/>
          <w:lang w:val="en-GB"/>
        </w:rPr>
        <w:t>Report from the Committee of the Whole House</w:t>
      </w:r>
    </w:p>
    <w:p w:rsidR="000C00CF" w:rsidRPr="00A06993" w:rsidRDefault="000C00CF" w:rsidP="000C00CF">
      <w:pPr>
        <w:numPr>
          <w:ilvl w:val="0"/>
          <w:numId w:val="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sz w:val="25"/>
          <w:szCs w:val="25"/>
          <w:lang w:val="en-GB"/>
        </w:rPr>
        <w:t>Adoption of Report from the Committee of the Whole House</w:t>
      </w:r>
    </w:p>
    <w:p w:rsidR="000C00CF" w:rsidRPr="00A06993" w:rsidRDefault="000C00CF" w:rsidP="000C00CF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GB"/>
        </w:rPr>
      </w:pPr>
    </w:p>
    <w:p w:rsidR="000C00CF" w:rsidRPr="00A06993" w:rsidRDefault="000C00CF" w:rsidP="000C00CF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bCs/>
          <w:sz w:val="25"/>
          <w:szCs w:val="25"/>
          <w:lang w:val="en-GB"/>
        </w:rPr>
        <w:t>(Chairperson, Council of Ministers)</w:t>
      </w:r>
    </w:p>
    <w:p w:rsidR="000C00CF" w:rsidRPr="00A06993" w:rsidRDefault="000C00CF" w:rsidP="000C00CF">
      <w:pPr>
        <w:spacing w:after="0" w:line="240" w:lineRule="auto"/>
        <w:contextualSpacing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C00CF" w:rsidRPr="00A06993" w:rsidRDefault="000C00CF" w:rsidP="000C00CF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THE EAST AFRICAN COMMUNITY APPROPRIATION BILL, 2019</w:t>
      </w:r>
    </w:p>
    <w:p w:rsidR="000C00CF" w:rsidRPr="00A06993" w:rsidRDefault="000C00CF" w:rsidP="000C00CF">
      <w:pPr>
        <w:spacing w:after="0" w:line="240" w:lineRule="auto"/>
        <w:ind w:left="540"/>
        <w:contextualSpacing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C00CF" w:rsidRPr="00A06993" w:rsidRDefault="000C00CF" w:rsidP="000C00CF">
      <w:pPr>
        <w:tabs>
          <w:tab w:val="left" w:pos="4500"/>
        </w:tabs>
        <w:spacing w:after="0" w:line="240" w:lineRule="auto"/>
        <w:ind w:left="1080" w:hanging="360"/>
        <w:contextualSpacing/>
        <w:jc w:val="center"/>
        <w:rPr>
          <w:rFonts w:ascii="Tahoma" w:eastAsia="Calibri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bCs/>
          <w:sz w:val="25"/>
          <w:szCs w:val="25"/>
          <w:lang w:val="en-GB"/>
        </w:rPr>
        <w:t>(Third Reading)</w:t>
      </w: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MOTION</w:t>
      </w: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 xml:space="preserve">“THAT, </w:t>
      </w:r>
      <w:r w:rsidRPr="00A06993">
        <w:rPr>
          <w:rFonts w:ascii="Tahoma" w:eastAsia="Calibri" w:hAnsi="Tahoma" w:cs="Tahoma"/>
          <w:sz w:val="25"/>
          <w:szCs w:val="25"/>
          <w:lang w:val="en-GB"/>
        </w:rPr>
        <w:t>The East African Community Appropriation Bill, 2019 be read for the Third Time and do pass”.</w:t>
      </w: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(Chairperson, Council of Ministers)</w:t>
      </w:r>
    </w:p>
    <w:p w:rsidR="000C00CF" w:rsidRPr="00A06993" w:rsidRDefault="000C00CF" w:rsidP="000C00CF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</w:p>
    <w:p w:rsidR="000C00CF" w:rsidRPr="00A06993" w:rsidRDefault="000C00CF" w:rsidP="000C00CF">
      <w:pPr>
        <w:pStyle w:val="ListParagraph"/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5"/>
          <w:szCs w:val="25"/>
        </w:rPr>
      </w:pPr>
      <w:r w:rsidRPr="00A06993">
        <w:rPr>
          <w:rFonts w:ascii="Tahoma" w:eastAsia="Times New Roman" w:hAnsi="Tahoma" w:cs="Tahoma"/>
          <w:b/>
          <w:color w:val="000000"/>
          <w:sz w:val="25"/>
          <w:szCs w:val="25"/>
        </w:rPr>
        <w:t xml:space="preserve">MOTION FOR A RESOLUTION  </w:t>
      </w:r>
      <w:r>
        <w:rPr>
          <w:rFonts w:ascii="Tahoma" w:eastAsia="Times New Roman" w:hAnsi="Tahoma" w:cs="Tahoma"/>
          <w:b/>
          <w:color w:val="000000"/>
          <w:sz w:val="25"/>
          <w:szCs w:val="25"/>
        </w:rPr>
        <w:t>RE</w:t>
      </w:r>
      <w:r w:rsidRPr="00A06993">
        <w:rPr>
          <w:rFonts w:ascii="Tahoma" w:eastAsia="Times New Roman" w:hAnsi="Tahoma" w:cs="Tahoma"/>
          <w:b/>
          <w:color w:val="000000"/>
          <w:sz w:val="25"/>
          <w:szCs w:val="25"/>
        </w:rPr>
        <w:t xml:space="preserve">COMMENDING </w:t>
      </w:r>
      <w:r>
        <w:rPr>
          <w:rFonts w:ascii="Tahoma" w:eastAsia="Times New Roman" w:hAnsi="Tahoma" w:cs="Tahoma"/>
          <w:b/>
          <w:color w:val="000000"/>
          <w:sz w:val="25"/>
          <w:szCs w:val="25"/>
        </w:rPr>
        <w:t xml:space="preserve">TO </w:t>
      </w:r>
      <w:r w:rsidRPr="00A06993">
        <w:rPr>
          <w:rFonts w:ascii="Tahoma" w:eastAsia="Times New Roman" w:hAnsi="Tahoma" w:cs="Tahoma"/>
          <w:b/>
          <w:color w:val="000000"/>
          <w:sz w:val="25"/>
          <w:szCs w:val="25"/>
        </w:rPr>
        <w:t>THE COUNCIL OF MINI</w:t>
      </w:r>
      <w:r>
        <w:rPr>
          <w:rFonts w:ascii="Tahoma" w:eastAsia="Times New Roman" w:hAnsi="Tahoma" w:cs="Tahoma"/>
          <w:b/>
          <w:color w:val="000000"/>
          <w:sz w:val="25"/>
          <w:szCs w:val="25"/>
        </w:rPr>
        <w:t>S</w:t>
      </w:r>
      <w:r w:rsidRPr="00A06993">
        <w:rPr>
          <w:rFonts w:ascii="Tahoma" w:eastAsia="Times New Roman" w:hAnsi="Tahoma" w:cs="Tahoma"/>
          <w:b/>
          <w:color w:val="000000"/>
          <w:sz w:val="25"/>
          <w:szCs w:val="25"/>
        </w:rPr>
        <w:t>TERS TO ESTABLISH AN INSTITUTION RESPONSIBLE FOR DEVELOPMENT OF TOURISM, WILDLIFE AND MANAGEMENT OF ANTIQUITIES WITH THE COMMUNITY</w:t>
      </w:r>
    </w:p>
    <w:p w:rsidR="000C00CF" w:rsidRPr="00A06993" w:rsidRDefault="000C00CF" w:rsidP="000C00CF">
      <w:p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tabs>
          <w:tab w:val="left" w:pos="360"/>
        </w:tabs>
        <w:spacing w:after="0" w:line="240" w:lineRule="auto"/>
        <w:ind w:left="-90"/>
        <w:jc w:val="both"/>
        <w:rPr>
          <w:rFonts w:ascii="Tahoma" w:eastAsia="Calibri" w:hAnsi="Tahoma" w:cs="Tahoma"/>
          <w:b/>
          <w:sz w:val="25"/>
          <w:szCs w:val="25"/>
        </w:rPr>
      </w:pPr>
      <w:r w:rsidRPr="00A06993">
        <w:rPr>
          <w:rFonts w:ascii="Tahoma" w:eastAsia="Calibri" w:hAnsi="Tahoma" w:cs="Tahoma"/>
          <w:b/>
          <w:sz w:val="25"/>
          <w:szCs w:val="25"/>
        </w:rPr>
        <w:t>MOTION</w:t>
      </w: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bCs/>
          <w:caps/>
          <w:sz w:val="25"/>
          <w:szCs w:val="25"/>
          <w:lang w:val="en-GB"/>
        </w:rPr>
        <w:t xml:space="preserve">“that, </w:t>
      </w:r>
      <w:r w:rsidRPr="00A06993">
        <w:rPr>
          <w:rFonts w:ascii="Tahoma" w:eastAsia="Times New Roman" w:hAnsi="Tahoma" w:cs="Tahoma"/>
          <w:caps/>
          <w:sz w:val="25"/>
          <w:szCs w:val="25"/>
          <w:lang w:val="en-GB"/>
        </w:rPr>
        <w:t>t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his Assembly do resolve to </w:t>
      </w:r>
      <w:r>
        <w:rPr>
          <w:rFonts w:ascii="Tahoma" w:eastAsia="Times New Roman" w:hAnsi="Tahoma" w:cs="Tahoma"/>
          <w:sz w:val="25"/>
          <w:szCs w:val="25"/>
          <w:lang w:val="en-GB"/>
        </w:rPr>
        <w:t>re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commend </w:t>
      </w:r>
      <w:r>
        <w:rPr>
          <w:rFonts w:ascii="Tahoma" w:eastAsia="Times New Roman" w:hAnsi="Tahoma" w:cs="Tahoma"/>
          <w:sz w:val="25"/>
          <w:szCs w:val="25"/>
          <w:lang w:val="en-GB"/>
        </w:rPr>
        <w:t xml:space="preserve">to 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>the Council of Ministers to establish an Institution responsible for development of Tourism, Wildlife and Management of antiquities within the Community.</w:t>
      </w:r>
    </w:p>
    <w:p w:rsidR="000C00CF" w:rsidRPr="00A06993" w:rsidRDefault="000C00CF" w:rsidP="000C00CF">
      <w:pPr>
        <w:spacing w:after="0" w:line="276" w:lineRule="auto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  <w:r w:rsidRPr="00A06993">
        <w:rPr>
          <w:rFonts w:ascii="Tahoma" w:eastAsia="Calibri" w:hAnsi="Tahoma" w:cs="Tahoma"/>
          <w:b/>
          <w:sz w:val="25"/>
          <w:szCs w:val="25"/>
        </w:rPr>
        <w:t xml:space="preserve">(Hon. Mary </w:t>
      </w:r>
      <w:proofErr w:type="spellStart"/>
      <w:r w:rsidRPr="00A06993">
        <w:rPr>
          <w:rFonts w:ascii="Tahoma" w:eastAsia="Calibri" w:hAnsi="Tahoma" w:cs="Tahoma"/>
          <w:b/>
          <w:sz w:val="25"/>
          <w:szCs w:val="25"/>
        </w:rPr>
        <w:t>Mughenyi</w:t>
      </w:r>
      <w:proofErr w:type="spellEnd"/>
      <w:r w:rsidRPr="00A06993">
        <w:rPr>
          <w:rFonts w:ascii="Tahoma" w:eastAsia="Calibri" w:hAnsi="Tahoma" w:cs="Tahoma"/>
          <w:b/>
          <w:sz w:val="25"/>
          <w:szCs w:val="25"/>
        </w:rPr>
        <w:t>)</w:t>
      </w: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pStyle w:val="ListParagraph"/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5"/>
          <w:szCs w:val="25"/>
        </w:rPr>
      </w:pPr>
      <w:r w:rsidRPr="00A06993">
        <w:rPr>
          <w:rFonts w:ascii="Tahoma" w:eastAsia="Times New Roman" w:hAnsi="Tahoma" w:cs="Tahoma"/>
          <w:b/>
          <w:color w:val="000000"/>
          <w:sz w:val="25"/>
          <w:szCs w:val="25"/>
        </w:rPr>
        <w:t xml:space="preserve">MOTION FOR A RESOLUTION </w:t>
      </w:r>
      <w:r>
        <w:rPr>
          <w:rFonts w:ascii="Tahoma" w:eastAsia="Times New Roman" w:hAnsi="Tahoma" w:cs="Tahoma"/>
          <w:b/>
          <w:color w:val="000000"/>
          <w:sz w:val="25"/>
          <w:szCs w:val="25"/>
        </w:rPr>
        <w:t>TO</w:t>
      </w:r>
      <w:r w:rsidRPr="00A06993">
        <w:rPr>
          <w:rFonts w:ascii="Tahoma" w:eastAsia="Times New Roman" w:hAnsi="Tahoma" w:cs="Tahoma"/>
          <w:b/>
          <w:color w:val="000000"/>
          <w:sz w:val="25"/>
          <w:szCs w:val="25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5"/>
          <w:szCs w:val="25"/>
        </w:rPr>
        <w:t>URGE</w:t>
      </w:r>
      <w:r w:rsidRPr="00A06993">
        <w:rPr>
          <w:rFonts w:ascii="Tahoma" w:eastAsia="Times New Roman" w:hAnsi="Tahoma" w:cs="Tahoma"/>
          <w:b/>
          <w:color w:val="000000"/>
          <w:sz w:val="25"/>
          <w:szCs w:val="25"/>
        </w:rPr>
        <w:t xml:space="preserve"> THE EAC PARTNER STATES TO ENSURE THAT FREEDOM</w:t>
      </w:r>
      <w:r>
        <w:rPr>
          <w:rFonts w:ascii="Tahoma" w:eastAsia="Times New Roman" w:hAnsi="Tahoma" w:cs="Tahoma"/>
          <w:b/>
          <w:color w:val="000000"/>
          <w:sz w:val="25"/>
          <w:szCs w:val="25"/>
        </w:rPr>
        <w:t>S</w:t>
      </w:r>
      <w:r w:rsidRPr="00A06993">
        <w:rPr>
          <w:rFonts w:ascii="Tahoma" w:eastAsia="Times New Roman" w:hAnsi="Tahoma" w:cs="Tahoma"/>
          <w:b/>
          <w:color w:val="000000"/>
          <w:sz w:val="25"/>
          <w:szCs w:val="25"/>
        </w:rPr>
        <w:t>, RIGHTS AND TREATMENTS OF EAST AFRICANS AS GUARANTEED BY THE EAC TREATY AND PROTOCOLS ARE RESPECTED AND ADHERED TO</w:t>
      </w:r>
    </w:p>
    <w:p w:rsidR="000C00CF" w:rsidRPr="00A06993" w:rsidRDefault="000C00CF" w:rsidP="000C00CF">
      <w:p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tabs>
          <w:tab w:val="left" w:pos="360"/>
        </w:tabs>
        <w:spacing w:after="0" w:line="240" w:lineRule="auto"/>
        <w:ind w:left="-90"/>
        <w:jc w:val="both"/>
        <w:rPr>
          <w:rFonts w:ascii="Tahoma" w:eastAsia="Calibri" w:hAnsi="Tahoma" w:cs="Tahoma"/>
          <w:b/>
          <w:sz w:val="25"/>
          <w:szCs w:val="25"/>
        </w:rPr>
      </w:pPr>
      <w:r w:rsidRPr="00A06993">
        <w:rPr>
          <w:rFonts w:ascii="Tahoma" w:eastAsia="Calibri" w:hAnsi="Tahoma" w:cs="Tahoma"/>
          <w:b/>
          <w:sz w:val="25"/>
          <w:szCs w:val="25"/>
        </w:rPr>
        <w:t>MOTION</w:t>
      </w: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40" w:lineRule="auto"/>
        <w:jc w:val="both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bCs/>
          <w:caps/>
          <w:sz w:val="25"/>
          <w:szCs w:val="25"/>
          <w:lang w:val="en-GB"/>
        </w:rPr>
        <w:t xml:space="preserve">“that, </w:t>
      </w:r>
      <w:r w:rsidRPr="00A06993">
        <w:rPr>
          <w:rFonts w:ascii="Tahoma" w:eastAsia="Times New Roman" w:hAnsi="Tahoma" w:cs="Tahoma"/>
          <w:caps/>
          <w:sz w:val="25"/>
          <w:szCs w:val="25"/>
          <w:lang w:val="en-GB"/>
        </w:rPr>
        <w:t>t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>his Assembly do resolve to urge the EAC Partner States to ensure that freedom</w:t>
      </w:r>
      <w:r>
        <w:rPr>
          <w:rFonts w:ascii="Tahoma" w:eastAsia="Times New Roman" w:hAnsi="Tahoma" w:cs="Tahoma"/>
          <w:sz w:val="25"/>
          <w:szCs w:val="25"/>
          <w:lang w:val="en-GB"/>
        </w:rPr>
        <w:t>s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>, rights and treatments of East Africans as guaranteed by the EAC Treaty and Protocols are respected and adhered to.</w:t>
      </w:r>
    </w:p>
    <w:p w:rsidR="000C00CF" w:rsidRPr="00A06993" w:rsidRDefault="000C00CF" w:rsidP="000C00CF">
      <w:pPr>
        <w:spacing w:after="0" w:line="276" w:lineRule="auto"/>
        <w:rPr>
          <w:rFonts w:ascii="Tahoma" w:eastAsia="Calibri" w:hAnsi="Tahoma" w:cs="Tahoma"/>
          <w:b/>
          <w:sz w:val="25"/>
          <w:szCs w:val="25"/>
        </w:rPr>
      </w:pPr>
    </w:p>
    <w:p w:rsidR="000C00CF" w:rsidRPr="00A06993" w:rsidRDefault="000C00CF" w:rsidP="000C00CF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</w:rPr>
      </w:pPr>
      <w:r w:rsidRPr="00A06993">
        <w:rPr>
          <w:rFonts w:ascii="Tahoma" w:eastAsia="Calibri" w:hAnsi="Tahoma" w:cs="Tahoma"/>
          <w:b/>
          <w:sz w:val="25"/>
          <w:szCs w:val="25"/>
        </w:rPr>
        <w:t>(Hon. Dr. Abdulla</w:t>
      </w:r>
      <w:r>
        <w:rPr>
          <w:rFonts w:ascii="Tahoma" w:eastAsia="Calibri" w:hAnsi="Tahoma" w:cs="Tahoma"/>
          <w:b/>
          <w:sz w:val="25"/>
          <w:szCs w:val="25"/>
        </w:rPr>
        <w:t>h</w:t>
      </w:r>
      <w:r w:rsidRPr="00A06993">
        <w:rPr>
          <w:rFonts w:ascii="Tahoma" w:eastAsia="Calibri" w:hAnsi="Tahoma" w:cs="Tahoma"/>
          <w:b/>
          <w:sz w:val="25"/>
          <w:szCs w:val="25"/>
        </w:rPr>
        <w:t xml:space="preserve"> </w:t>
      </w:r>
      <w:proofErr w:type="spellStart"/>
      <w:r>
        <w:rPr>
          <w:rFonts w:ascii="Tahoma" w:eastAsia="Calibri" w:hAnsi="Tahoma" w:cs="Tahoma"/>
          <w:b/>
          <w:sz w:val="25"/>
          <w:szCs w:val="25"/>
        </w:rPr>
        <w:t>Hasnuu</w:t>
      </w:r>
      <w:proofErr w:type="spellEnd"/>
      <w:r>
        <w:rPr>
          <w:rFonts w:ascii="Tahoma" w:eastAsia="Calibri" w:hAnsi="Tahoma" w:cs="Tahoma"/>
          <w:b/>
          <w:sz w:val="25"/>
          <w:szCs w:val="25"/>
        </w:rPr>
        <w:t xml:space="preserve"> </w:t>
      </w:r>
      <w:r w:rsidRPr="00A06993">
        <w:rPr>
          <w:rFonts w:ascii="Tahoma" w:eastAsia="Calibri" w:hAnsi="Tahoma" w:cs="Tahoma"/>
          <w:b/>
          <w:sz w:val="25"/>
          <w:szCs w:val="25"/>
        </w:rPr>
        <w:t>Makame)</w:t>
      </w:r>
    </w:p>
    <w:p w:rsidR="000C00CF" w:rsidRPr="00A06993" w:rsidRDefault="000C00CF" w:rsidP="000C00CF">
      <w:pPr>
        <w:rPr>
          <w:sz w:val="25"/>
          <w:szCs w:val="25"/>
        </w:rPr>
      </w:pPr>
    </w:p>
    <w:p w:rsidR="000C00CF" w:rsidRPr="00A06993" w:rsidRDefault="000C00CF" w:rsidP="000C00CF">
      <w:pPr>
        <w:rPr>
          <w:sz w:val="25"/>
          <w:szCs w:val="25"/>
        </w:rPr>
      </w:pPr>
    </w:p>
    <w:p w:rsidR="000C00CF" w:rsidRPr="00A06993" w:rsidRDefault="000C00CF" w:rsidP="000C00CF">
      <w:pPr>
        <w:rPr>
          <w:sz w:val="25"/>
          <w:szCs w:val="25"/>
        </w:rPr>
      </w:pPr>
    </w:p>
    <w:p w:rsidR="000C00CF" w:rsidRPr="00A06993" w:rsidRDefault="000C00CF" w:rsidP="000C00CF">
      <w:pPr>
        <w:rPr>
          <w:sz w:val="25"/>
          <w:szCs w:val="25"/>
        </w:rPr>
      </w:pPr>
    </w:p>
    <w:p w:rsidR="000C00CF" w:rsidRPr="00A06993" w:rsidRDefault="000C00CF" w:rsidP="000C00CF">
      <w:pPr>
        <w:rPr>
          <w:sz w:val="25"/>
          <w:szCs w:val="25"/>
        </w:rPr>
      </w:pPr>
    </w:p>
    <w:p w:rsidR="000C00CF" w:rsidRPr="00A06993" w:rsidRDefault="000C00CF" w:rsidP="000C00CF">
      <w:pPr>
        <w:rPr>
          <w:sz w:val="25"/>
          <w:szCs w:val="25"/>
        </w:rPr>
      </w:pPr>
    </w:p>
    <w:p w:rsidR="000C00CF" w:rsidRPr="00A06993" w:rsidRDefault="000C00CF" w:rsidP="000C00CF">
      <w:pPr>
        <w:rPr>
          <w:sz w:val="25"/>
          <w:szCs w:val="25"/>
        </w:rPr>
      </w:pPr>
    </w:p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Default="000C00CF" w:rsidP="000C00CF"/>
    <w:p w:rsidR="000C00CF" w:rsidRPr="00A80453" w:rsidRDefault="000C00CF" w:rsidP="000C00C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0C00CF" w:rsidRDefault="000C00CF" w:rsidP="000C00C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0C00CF" w:rsidRPr="00A80453" w:rsidRDefault="000C00CF" w:rsidP="000C00C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0C00CF" w:rsidRPr="00A80453" w:rsidRDefault="000C00CF" w:rsidP="000C00C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  <w:t>June 27, 2019</w:t>
      </w:r>
    </w:p>
    <w:p w:rsidR="000C00CF" w:rsidRDefault="000C00CF" w:rsidP="000C00CF"/>
    <w:sectPr w:rsidR="000C00CF" w:rsidSect="004B7B65">
      <w:pgSz w:w="12240" w:h="15840"/>
      <w:pgMar w:top="81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534C"/>
    <w:multiLevelType w:val="hybridMultilevel"/>
    <w:tmpl w:val="F298356A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CF"/>
    <w:rsid w:val="000C00CF"/>
    <w:rsid w:val="007D398B"/>
    <w:rsid w:val="008A155F"/>
    <w:rsid w:val="009470E2"/>
    <w:rsid w:val="00C567BB"/>
    <w:rsid w:val="00C72FCF"/>
    <w:rsid w:val="00D17B0C"/>
    <w:rsid w:val="00D93635"/>
    <w:rsid w:val="00D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B7CA0-C20C-4EA6-84F4-27747576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0C00CF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0C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Emiliana Tuhoye</cp:lastModifiedBy>
  <cp:revision>1</cp:revision>
  <dcterms:created xsi:type="dcterms:W3CDTF">2019-06-26T12:25:00Z</dcterms:created>
  <dcterms:modified xsi:type="dcterms:W3CDTF">2019-06-26T12:30:00Z</dcterms:modified>
</cp:coreProperties>
</file>