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3C19D74E" w:rsidR="001D4A54" w:rsidRPr="008B5F75" w:rsidRDefault="001D4A54" w:rsidP="00681F3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7F618B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90700" cy="93345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232722">
        <w:rPr>
          <w:rFonts w:ascii="Tahoma" w:eastAsia="Calibri" w:hAnsi="Tahoma" w:cs="Tahoma"/>
          <w:b/>
          <w:bCs/>
          <w:sz w:val="26"/>
          <w:szCs w:val="26"/>
          <w:lang w:val="en-GB"/>
        </w:rPr>
        <w:t>53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1D4A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CBC06D" w14:textId="77777777" w:rsidR="001D4A54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275965AB" w14:textId="77777777" w:rsidR="00B365E5" w:rsidRPr="008B5F75" w:rsidRDefault="00B365E5" w:rsidP="00A4239E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19A1FD27" w14:textId="7E6F99CB" w:rsidR="001D4A54" w:rsidRPr="004E39CE" w:rsidRDefault="005473C6" w:rsidP="00A4239E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COMMUNITY</w:t>
      </w:r>
    </w:p>
    <w:p w14:paraId="2CAAAD8C" w14:textId="3C1F9F71" w:rsidR="001D4A54" w:rsidRPr="004E39CE" w:rsidRDefault="005473C6" w:rsidP="00A4239E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LEGISLATIVE ASSEMBLY</w:t>
      </w:r>
    </w:p>
    <w:p w14:paraId="2AD091D4" w14:textId="7E54E3BB" w:rsidR="001D4A54" w:rsidRPr="004F5BC7" w:rsidRDefault="001D4A54" w:rsidP="004F5BC7">
      <w:pPr>
        <w:pStyle w:val="NoSpacing"/>
      </w:pPr>
    </w:p>
    <w:p w14:paraId="535B8DFC" w14:textId="21B1CDF2" w:rsidR="00DC31DF" w:rsidRDefault="00D738CC" w:rsidP="00A4239E">
      <w:pPr>
        <w:pStyle w:val="NoSpacing"/>
        <w:jc w:val="center"/>
        <w:rPr>
          <w:rFonts w:ascii="Sanskrit Text" w:eastAsia="Calibri" w:hAnsi="Sanskrit Text" w:cs="Sanskrit Text"/>
          <w:b/>
          <w:bCs/>
          <w:sz w:val="28"/>
          <w:szCs w:val="28"/>
          <w:lang w:val="en-GB"/>
        </w:rPr>
      </w:pPr>
      <w:r w:rsidRPr="00D738CC">
        <w:rPr>
          <w:rFonts w:ascii="Sanskrit Text" w:eastAsia="Calibri" w:hAnsi="Sanskrit Text" w:cs="Sanskrit Text"/>
          <w:b/>
          <w:bCs/>
          <w:sz w:val="28"/>
          <w:szCs w:val="28"/>
          <w:lang w:val="en-GB"/>
        </w:rPr>
        <w:t>(VIRTUAL SITTING)</w:t>
      </w:r>
    </w:p>
    <w:p w14:paraId="70651140" w14:textId="7FB0487E" w:rsidR="00D738CC" w:rsidRPr="00D738CC" w:rsidRDefault="00D738CC" w:rsidP="00A4239E">
      <w:pPr>
        <w:pStyle w:val="NoSpacing"/>
        <w:jc w:val="center"/>
      </w:pPr>
    </w:p>
    <w:p w14:paraId="1E772DD0" w14:textId="366B2DDA" w:rsidR="001D4A54" w:rsidRPr="00F31B7C" w:rsidRDefault="00A32EE0" w:rsidP="00A4239E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 w:rsidRPr="00A32EE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A32EE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D738CC" w:rsidRDefault="00B53691" w:rsidP="00D738CC">
      <w:pPr>
        <w:pStyle w:val="NoSpacing"/>
      </w:pPr>
    </w:p>
    <w:p w14:paraId="0E2CFE9A" w14:textId="7CFA603F" w:rsidR="001D4A54" w:rsidRPr="00DC31DF" w:rsidRDefault="001D4A54" w:rsidP="001D4A54">
      <w:pPr>
        <w:spacing w:after="0" w:line="240" w:lineRule="auto"/>
        <w:jc w:val="center"/>
        <w:rPr>
          <w:rFonts w:ascii="Tahoma" w:eastAsia="Calibri" w:hAnsi="Tahoma" w:cs="Tahoma"/>
          <w:b/>
          <w:bCs/>
          <w:sz w:val="32"/>
          <w:szCs w:val="32"/>
          <w:u w:val="single"/>
          <w:lang w:val="en-GB"/>
        </w:rPr>
      </w:pPr>
      <w:r w:rsidRPr="00DC31DF">
        <w:rPr>
          <w:rFonts w:ascii="Tahoma" w:eastAsia="Calibri" w:hAnsi="Tahoma" w:cs="Tahoma"/>
          <w:b/>
          <w:sz w:val="32"/>
          <w:szCs w:val="32"/>
          <w:lang w:val="en-GB"/>
        </w:rPr>
        <w:t>ORDERS OF THE DAY</w:t>
      </w:r>
    </w:p>
    <w:p w14:paraId="6F301523" w14:textId="77777777" w:rsidR="001D4A54" w:rsidRPr="00D738CC" w:rsidRDefault="001D4A54" w:rsidP="00D738CC">
      <w:pPr>
        <w:pStyle w:val="NoSpacing"/>
      </w:pPr>
    </w:p>
    <w:p w14:paraId="22A7CC96" w14:textId="11B7B089" w:rsidR="001D4A54" w:rsidRPr="00D9588C" w:rsidRDefault="00232722" w:rsidP="001D4A5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TUESDAY</w:t>
      </w:r>
      <w:r w:rsidR="009C2FF5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,</w:t>
      </w:r>
      <w:r w:rsidR="00A32EE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8</w:t>
      </w:r>
      <w:r w:rsidR="00A32EE0" w:rsidRPr="00A32EE0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="00A32EE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JULY, 2025, AT </w:t>
      </w:r>
      <w:r w:rsidR="00E60AE5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2:3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0 </w:t>
      </w:r>
      <w:r w:rsidR="00E60AE5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P</w:t>
      </w:r>
      <w:r w:rsidR="00B13A8E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</w:p>
    <w:p w14:paraId="4D7A497F" w14:textId="7D8B2A9F" w:rsidR="001D4A54" w:rsidRPr="008B04DE" w:rsidRDefault="001D4A54" w:rsidP="001D4A54">
      <w:pPr>
        <w:spacing w:after="0" w:line="240" w:lineRule="auto"/>
        <w:rPr>
          <w:rFonts w:ascii="Tahoma" w:eastAsia="Calibri" w:hAnsi="Tahoma" w:cs="Tahoma"/>
          <w:b/>
          <w:sz w:val="24"/>
          <w:szCs w:val="24"/>
          <w:lang w:val="en-GB"/>
        </w:rPr>
      </w:pPr>
      <w:bookmarkStart w:id="0" w:name="_Hlk137656295"/>
      <w:r w:rsidRPr="008B04DE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8B04DE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8B04DE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8B04DE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8B04DE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8B04DE">
        <w:rPr>
          <w:rFonts w:ascii="Tahoma" w:eastAsia="Calibri" w:hAnsi="Tahoma" w:cs="Tahoma"/>
          <w:b/>
          <w:sz w:val="24"/>
          <w:szCs w:val="24"/>
          <w:lang w:val="en-GB"/>
        </w:rPr>
        <w:tab/>
      </w:r>
      <w:r w:rsidRPr="008B04DE">
        <w:rPr>
          <w:rFonts w:ascii="Tahoma" w:eastAsia="Calibri" w:hAnsi="Tahoma" w:cs="Tahoma"/>
          <w:b/>
          <w:sz w:val="24"/>
          <w:szCs w:val="24"/>
          <w:lang w:val="en-GB"/>
        </w:rPr>
        <w:tab/>
      </w:r>
    </w:p>
    <w:p w14:paraId="272BFB61" w14:textId="21ED0C29" w:rsidR="00B93C1B" w:rsidRPr="00212E86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  <w:lang w:val="en-GB"/>
        </w:rPr>
        <w:t>PRAYER</w:t>
      </w:r>
    </w:p>
    <w:p w14:paraId="5D576D10" w14:textId="77777777" w:rsidR="00B93C1B" w:rsidRPr="00212E86" w:rsidRDefault="00B93C1B" w:rsidP="00C064E3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495BEDC9" w14:textId="77777777" w:rsidR="00DE3283" w:rsidRPr="00212E86" w:rsidRDefault="00B93C1B" w:rsidP="003530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  <w:lang w:val="en-GB"/>
        </w:rPr>
        <w:t>COMMUNICATION FROM THE CHAIR</w:t>
      </w:r>
    </w:p>
    <w:p w14:paraId="2B674509" w14:textId="77777777" w:rsidR="007C400F" w:rsidRPr="00212E86" w:rsidRDefault="007C400F" w:rsidP="003530EC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2992527F" w14:textId="32823C9C" w:rsidR="00A32EE0" w:rsidRPr="00212E86" w:rsidRDefault="00A32EE0" w:rsidP="003530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  <w:lang w:val="en-GB"/>
        </w:rPr>
        <w:t>LAYING OF PAPERS</w:t>
      </w:r>
    </w:p>
    <w:p w14:paraId="5B7AAC97" w14:textId="77777777" w:rsidR="00B93C1B" w:rsidRPr="00212E86" w:rsidRDefault="00B93C1B" w:rsidP="003530EC">
      <w:pPr>
        <w:pStyle w:val="NoSpacing"/>
        <w:jc w:val="both"/>
        <w:rPr>
          <w:rFonts w:ascii="Tahoma" w:hAnsi="Tahoma" w:cs="Tahoma"/>
          <w:sz w:val="24"/>
          <w:szCs w:val="24"/>
          <w:lang w:val="en-GB"/>
        </w:rPr>
      </w:pPr>
    </w:p>
    <w:p w14:paraId="2F26390F" w14:textId="42089F09" w:rsidR="003530EC" w:rsidRPr="00212E86" w:rsidRDefault="003530EC" w:rsidP="003530EC">
      <w:pPr>
        <w:pStyle w:val="ListParagraph"/>
        <w:numPr>
          <w:ilvl w:val="0"/>
          <w:numId w:val="32"/>
        </w:numPr>
        <w:tabs>
          <w:tab w:val="left" w:pos="168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B37C85">
        <w:rPr>
          <w:rFonts w:ascii="Tahoma" w:eastAsia="Times New Roman" w:hAnsi="Tahoma" w:cs="Tahoma"/>
          <w:sz w:val="24"/>
          <w:szCs w:val="24"/>
        </w:rPr>
        <w:t>Report of the Committee on Regional Affairs and Conflict Resolution on the Assessment of the Performance and Functioning of the Regional Police Centr</w:t>
      </w:r>
      <w:r w:rsidRPr="00212E86">
        <w:rPr>
          <w:rFonts w:ascii="Tahoma" w:eastAsia="Times New Roman" w:hAnsi="Tahoma" w:cs="Tahoma"/>
          <w:sz w:val="24"/>
          <w:szCs w:val="24"/>
        </w:rPr>
        <w:t>e</w:t>
      </w:r>
      <w:r w:rsidRPr="00B37C85">
        <w:rPr>
          <w:rFonts w:ascii="Tahoma" w:eastAsia="Times New Roman" w:hAnsi="Tahoma" w:cs="Tahoma"/>
          <w:sz w:val="24"/>
          <w:szCs w:val="24"/>
        </w:rPr>
        <w:t>s of Excellence and Security Agencies Cooperation in Tackling Cross-Border Crime within the EAC Region</w:t>
      </w:r>
      <w:r w:rsidRPr="00212E86">
        <w:rPr>
          <w:rFonts w:ascii="Tahoma" w:eastAsia="Times New Roman" w:hAnsi="Tahoma" w:cs="Tahoma"/>
          <w:sz w:val="24"/>
          <w:szCs w:val="24"/>
        </w:rPr>
        <w:t xml:space="preserve"> </w:t>
      </w:r>
      <w:r w:rsidRPr="00212E86">
        <w:rPr>
          <w:rFonts w:ascii="Tahoma" w:eastAsia="Times New Roman" w:hAnsi="Tahoma" w:cs="Tahoma"/>
          <w:i/>
          <w:iCs/>
          <w:sz w:val="24"/>
          <w:szCs w:val="24"/>
        </w:rPr>
        <w:t>(A</w:t>
      </w:r>
      <w:r w:rsidR="00152001" w:rsidRPr="00212E86">
        <w:rPr>
          <w:rFonts w:ascii="Tahoma" w:eastAsia="Times New Roman" w:hAnsi="Tahoma" w:cs="Tahoma"/>
          <w:i/>
          <w:iCs/>
          <w:sz w:val="24"/>
          <w:szCs w:val="24"/>
        </w:rPr>
        <w:t>s a</w:t>
      </w:r>
      <w:r w:rsidRPr="00212E86">
        <w:rPr>
          <w:rFonts w:ascii="Tahoma" w:eastAsia="Times New Roman" w:hAnsi="Tahoma" w:cs="Tahoma"/>
          <w:i/>
          <w:iCs/>
          <w:sz w:val="24"/>
          <w:szCs w:val="24"/>
        </w:rPr>
        <w:t>mended).</w:t>
      </w:r>
    </w:p>
    <w:p w14:paraId="120F15C3" w14:textId="77777777" w:rsidR="00D07863" w:rsidRPr="00212E86" w:rsidRDefault="00D07863" w:rsidP="00FA2154">
      <w:pPr>
        <w:pStyle w:val="NoSpacing"/>
        <w:tabs>
          <w:tab w:val="left" w:pos="3510"/>
        </w:tabs>
        <w:ind w:left="1080"/>
        <w:rPr>
          <w:rFonts w:ascii="Tahoma" w:hAnsi="Tahoma" w:cs="Tahoma"/>
          <w:b/>
          <w:bCs/>
          <w:sz w:val="24"/>
          <w:szCs w:val="24"/>
        </w:rPr>
      </w:pPr>
    </w:p>
    <w:p w14:paraId="5B345B6A" w14:textId="7910BC27" w:rsidR="00D07863" w:rsidRPr="00212E86" w:rsidRDefault="00D07863" w:rsidP="000041BD">
      <w:pPr>
        <w:pStyle w:val="NoSpacing"/>
        <w:tabs>
          <w:tab w:val="left" w:pos="3510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212E86">
        <w:rPr>
          <w:rFonts w:ascii="Tahoma" w:hAnsi="Tahoma" w:cs="Tahoma"/>
          <w:b/>
          <w:bCs/>
          <w:sz w:val="24"/>
          <w:szCs w:val="24"/>
        </w:rPr>
        <w:t>(Chairperson, Committee on Regional Affairs and Conflict Resolution)</w:t>
      </w:r>
    </w:p>
    <w:p w14:paraId="7E5E88F2" w14:textId="77777777" w:rsidR="003530EC" w:rsidRPr="00212E86" w:rsidRDefault="003530EC" w:rsidP="003530EC">
      <w:pPr>
        <w:pStyle w:val="ListParagraph"/>
        <w:tabs>
          <w:tab w:val="left" w:pos="1680"/>
        </w:tabs>
        <w:spacing w:after="0" w:line="240" w:lineRule="auto"/>
        <w:ind w:left="1080"/>
        <w:jc w:val="both"/>
        <w:rPr>
          <w:rFonts w:ascii="Tahoma" w:eastAsia="Times New Roman" w:hAnsi="Tahoma" w:cs="Tahoma"/>
          <w:sz w:val="24"/>
          <w:szCs w:val="24"/>
        </w:rPr>
      </w:pPr>
    </w:p>
    <w:p w14:paraId="383A9199" w14:textId="02EF3DE5" w:rsidR="00537AA3" w:rsidRPr="00212E86" w:rsidRDefault="00A84977" w:rsidP="003530EC">
      <w:pPr>
        <w:pStyle w:val="ListParagraph"/>
        <w:numPr>
          <w:ilvl w:val="0"/>
          <w:numId w:val="32"/>
        </w:numPr>
        <w:tabs>
          <w:tab w:val="left" w:pos="168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sz w:val="24"/>
          <w:szCs w:val="24"/>
          <w:lang w:val="en-GB"/>
        </w:rPr>
        <w:t xml:space="preserve">Report of the Committee on </w:t>
      </w:r>
      <w:bookmarkStart w:id="1" w:name="_Hlk202800526"/>
      <w:bookmarkStart w:id="2" w:name="_Hlk202774114"/>
      <w:r w:rsidR="00AE134E" w:rsidRPr="00212E86">
        <w:rPr>
          <w:rFonts w:ascii="Tahoma" w:eastAsia="Times New Roman" w:hAnsi="Tahoma" w:cs="Tahoma"/>
          <w:sz w:val="24"/>
          <w:szCs w:val="24"/>
          <w:lang w:val="en-GB"/>
        </w:rPr>
        <w:t>Regional Affairs and Conflict Resolution on implementation of EAC Security and Foreign Policies</w:t>
      </w:r>
    </w:p>
    <w:bookmarkEnd w:id="1"/>
    <w:p w14:paraId="36428148" w14:textId="77777777" w:rsidR="001D7506" w:rsidRPr="00212E86" w:rsidRDefault="001D7506" w:rsidP="003530EC">
      <w:pPr>
        <w:pStyle w:val="ListParagraph"/>
        <w:tabs>
          <w:tab w:val="left" w:pos="1680"/>
        </w:tabs>
        <w:spacing w:after="0" w:line="240" w:lineRule="auto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bookmarkEnd w:id="2"/>
    <w:p w14:paraId="118AA75C" w14:textId="55436801" w:rsidR="00856AF7" w:rsidRPr="00212E86" w:rsidRDefault="00D87A3F" w:rsidP="00FA2154">
      <w:pPr>
        <w:pStyle w:val="NoSpacing"/>
        <w:tabs>
          <w:tab w:val="left" w:pos="3510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212E86">
        <w:rPr>
          <w:rFonts w:ascii="Tahoma" w:hAnsi="Tahoma" w:cs="Tahoma"/>
          <w:b/>
          <w:bCs/>
          <w:sz w:val="24"/>
          <w:szCs w:val="24"/>
        </w:rPr>
        <w:t xml:space="preserve">(Chairperson, Committee on </w:t>
      </w:r>
      <w:r w:rsidR="00523DCC" w:rsidRPr="00212E86">
        <w:rPr>
          <w:rFonts w:ascii="Tahoma" w:hAnsi="Tahoma" w:cs="Tahoma"/>
          <w:b/>
          <w:bCs/>
          <w:sz w:val="24"/>
          <w:szCs w:val="24"/>
        </w:rPr>
        <w:t>Regional Affairs and Conflict Resolution</w:t>
      </w:r>
      <w:r w:rsidRPr="00212E86">
        <w:rPr>
          <w:rFonts w:ascii="Tahoma" w:hAnsi="Tahoma" w:cs="Tahoma"/>
          <w:b/>
          <w:bCs/>
          <w:sz w:val="24"/>
          <w:szCs w:val="24"/>
        </w:rPr>
        <w:t>)</w:t>
      </w:r>
    </w:p>
    <w:p w14:paraId="4BE37F74" w14:textId="0D3BACA8" w:rsidR="00B520FD" w:rsidRPr="00212E86" w:rsidRDefault="00A20BE2" w:rsidP="003530EC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212E86">
        <w:rPr>
          <w:rFonts w:ascii="Tahoma" w:hAnsi="Tahoma" w:cs="Tahoma"/>
          <w:sz w:val="24"/>
          <w:szCs w:val="24"/>
        </w:rPr>
        <w:tab/>
      </w:r>
    </w:p>
    <w:p w14:paraId="5BD9FC0B" w14:textId="7803D7AA" w:rsidR="0033589D" w:rsidRPr="00212E86" w:rsidRDefault="00A20BE2" w:rsidP="003530EC">
      <w:pPr>
        <w:pStyle w:val="NoSpacing"/>
        <w:jc w:val="both"/>
        <w:rPr>
          <w:rFonts w:ascii="Tahoma" w:eastAsia="Times New Roman" w:hAnsi="Tahoma" w:cs="Tahoma"/>
          <w:sz w:val="24"/>
          <w:szCs w:val="24"/>
        </w:rPr>
      </w:pPr>
      <w:r w:rsidRPr="00212E86">
        <w:rPr>
          <w:rFonts w:ascii="Tahoma" w:hAnsi="Tahoma" w:cs="Tahoma"/>
          <w:sz w:val="24"/>
          <w:szCs w:val="24"/>
        </w:rPr>
        <w:tab/>
      </w:r>
    </w:p>
    <w:p w14:paraId="3B2F0C53" w14:textId="36FE60F3" w:rsidR="00496FB6" w:rsidRPr="00212E86" w:rsidRDefault="002B10C1" w:rsidP="003530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2B10C1">
        <w:rPr>
          <w:rFonts w:ascii="Tahoma" w:eastAsia="Times New Roman" w:hAnsi="Tahoma" w:cs="Tahoma"/>
          <w:b/>
          <w:bCs/>
          <w:sz w:val="24"/>
          <w:szCs w:val="24"/>
          <w:lang w:val="en-GB"/>
        </w:rPr>
        <w:t>THE</w:t>
      </w:r>
      <w:r w:rsidRPr="002B10C1">
        <w:rPr>
          <w:rFonts w:ascii="Tahoma" w:eastAsia="Times New Roman" w:hAnsi="Tahoma" w:cs="Tahoma"/>
          <w:b/>
          <w:bCs/>
          <w:sz w:val="24"/>
          <w:szCs w:val="24"/>
        </w:rPr>
        <w:t xml:space="preserve"> EAST AFRICAN COMMUNITY </w:t>
      </w:r>
      <w:r w:rsidRPr="00212E86">
        <w:rPr>
          <w:rFonts w:ascii="Tahoma" w:eastAsia="Times New Roman" w:hAnsi="Tahoma" w:cs="Tahoma"/>
          <w:b/>
          <w:bCs/>
          <w:sz w:val="24"/>
          <w:szCs w:val="24"/>
        </w:rPr>
        <w:t>ELIMINATION OF FEMALE GENITAL MUTILATION BILL, 2025</w:t>
      </w:r>
    </w:p>
    <w:p w14:paraId="59C5ECCF" w14:textId="444D25BC" w:rsidR="00496FB6" w:rsidRPr="00212E86" w:rsidRDefault="004F5BC7" w:rsidP="003530E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</w:rPr>
        <w:t>(First Reading)</w:t>
      </w:r>
    </w:p>
    <w:p w14:paraId="3E9558D6" w14:textId="77777777" w:rsidR="004F5BC7" w:rsidRPr="00212E86" w:rsidRDefault="004F5BC7" w:rsidP="003530E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CE67D9C" w14:textId="4184E5C7" w:rsidR="004F5BC7" w:rsidRPr="00212E86" w:rsidRDefault="004F5BC7" w:rsidP="003530E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3A1B60A9" w14:textId="77777777" w:rsidR="004F5BC7" w:rsidRPr="00212E86" w:rsidRDefault="004F5BC7" w:rsidP="003530E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F724102" w14:textId="1B6A8469" w:rsidR="00496FB6" w:rsidRPr="00212E86" w:rsidRDefault="00575184" w:rsidP="003530E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</w:rPr>
        <w:t xml:space="preserve">“THAT, </w:t>
      </w:r>
      <w:r w:rsidRPr="00212E86">
        <w:rPr>
          <w:rFonts w:ascii="Tahoma" w:eastAsia="Times New Roman" w:hAnsi="Tahoma" w:cs="Tahoma"/>
          <w:sz w:val="24"/>
          <w:szCs w:val="24"/>
        </w:rPr>
        <w:t xml:space="preserve">The East African Community Elimination of Female Genital Mutilation Bill, 2025 be </w:t>
      </w:r>
      <w:r w:rsidR="00A50A04" w:rsidRPr="00212E86">
        <w:rPr>
          <w:rFonts w:ascii="Tahoma" w:eastAsia="Times New Roman" w:hAnsi="Tahoma" w:cs="Tahoma"/>
          <w:sz w:val="24"/>
          <w:szCs w:val="24"/>
        </w:rPr>
        <w:t xml:space="preserve">read for the First </w:t>
      </w:r>
      <w:r w:rsidR="00221585">
        <w:rPr>
          <w:rFonts w:ascii="Tahoma" w:eastAsia="Times New Roman" w:hAnsi="Tahoma" w:cs="Tahoma"/>
          <w:sz w:val="24"/>
          <w:szCs w:val="24"/>
        </w:rPr>
        <w:t>Time</w:t>
      </w:r>
      <w:r w:rsidR="00A50A04" w:rsidRPr="00212E86">
        <w:rPr>
          <w:rFonts w:ascii="Tahoma" w:eastAsia="Times New Roman" w:hAnsi="Tahoma" w:cs="Tahoma"/>
          <w:sz w:val="24"/>
          <w:szCs w:val="24"/>
        </w:rPr>
        <w:t>.”</w:t>
      </w:r>
    </w:p>
    <w:p w14:paraId="322E1196" w14:textId="77777777" w:rsidR="00A50A04" w:rsidRPr="00212E86" w:rsidRDefault="00A50A04" w:rsidP="003530E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4DBD8470" w14:textId="76BE4B28" w:rsidR="00A50A04" w:rsidRPr="00212E86" w:rsidRDefault="00A50A04" w:rsidP="00D0786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</w:rPr>
        <w:t>(Hon. Jacquilin</w:t>
      </w:r>
      <w:r w:rsidR="000041BD" w:rsidRPr="00212E86">
        <w:rPr>
          <w:rFonts w:ascii="Tahoma" w:eastAsia="Times New Roman" w:hAnsi="Tahoma" w:cs="Tahoma"/>
          <w:b/>
          <w:bCs/>
          <w:sz w:val="24"/>
          <w:szCs w:val="24"/>
        </w:rPr>
        <w:t>e</w:t>
      </w:r>
      <w:r w:rsidRPr="00212E86">
        <w:rPr>
          <w:rFonts w:ascii="Tahoma" w:eastAsia="Times New Roman" w:hAnsi="Tahoma" w:cs="Tahoma"/>
          <w:b/>
          <w:bCs/>
          <w:sz w:val="24"/>
          <w:szCs w:val="24"/>
        </w:rPr>
        <w:t xml:space="preserve"> Amongin)</w:t>
      </w:r>
    </w:p>
    <w:p w14:paraId="2B79EC7B" w14:textId="77777777" w:rsidR="00A50A04" w:rsidRPr="00212E86" w:rsidRDefault="00A50A04" w:rsidP="003530E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3B041810" w14:textId="77777777" w:rsidR="00D368E0" w:rsidRPr="00212E86" w:rsidRDefault="00D368E0" w:rsidP="003530EC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14:paraId="271BF1F5" w14:textId="77777777" w:rsidR="00D368E0" w:rsidRPr="00212E86" w:rsidRDefault="00D368E0" w:rsidP="003530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</w:t>
      </w:r>
      <w:r w:rsidRPr="00212E86">
        <w:rPr>
          <w:rFonts w:ascii="Tahoma" w:eastAsia="Times New Roman" w:hAnsi="Tahoma" w:cs="Tahoma"/>
          <w:b/>
          <w:bCs/>
          <w:sz w:val="24"/>
          <w:szCs w:val="24"/>
        </w:rPr>
        <w:t xml:space="preserve"> OF THE COMMITTEE ON ACCOUNTS </w:t>
      </w:r>
      <w:r w:rsidRPr="00212E86">
        <w:rPr>
          <w:rFonts w:ascii="Tahoma" w:eastAsia="Times New Roman" w:hAnsi="Tahoma" w:cs="Tahoma"/>
          <w:b/>
          <w:bCs/>
          <w:sz w:val="24"/>
          <w:szCs w:val="24"/>
          <w:lang w:val="en-GB"/>
        </w:rPr>
        <w:t>ON THE AUDITED ACCOUNTS FOR THE FINANCIAL YEAR ENDED 30</w:t>
      </w:r>
      <w:r w:rsidRPr="00212E86">
        <w:rPr>
          <w:rFonts w:ascii="Tahoma" w:eastAsia="Times New Roman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Pr="00212E86">
        <w:rPr>
          <w:rFonts w:ascii="Tahoma" w:eastAsia="Times New Roman" w:hAnsi="Tahoma" w:cs="Tahoma"/>
          <w:b/>
          <w:bCs/>
          <w:sz w:val="24"/>
          <w:szCs w:val="24"/>
          <w:lang w:val="en-GB"/>
        </w:rPr>
        <w:t xml:space="preserve"> JUNE, 2022</w:t>
      </w:r>
    </w:p>
    <w:p w14:paraId="761E1D2A" w14:textId="77777777" w:rsidR="00D368E0" w:rsidRPr="00212E86" w:rsidRDefault="00D368E0" w:rsidP="003530EC">
      <w:pPr>
        <w:tabs>
          <w:tab w:val="left" w:pos="168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7C51DA4D" w14:textId="77777777" w:rsidR="00D368E0" w:rsidRPr="00212E86" w:rsidRDefault="00D368E0" w:rsidP="003530E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6B30BA86" w14:textId="77777777" w:rsidR="00D368E0" w:rsidRPr="00212E86" w:rsidRDefault="00D368E0" w:rsidP="003530E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7709EF1" w14:textId="77777777" w:rsidR="00D368E0" w:rsidRPr="00212E86" w:rsidRDefault="00D368E0" w:rsidP="003530EC">
      <w:pPr>
        <w:tabs>
          <w:tab w:val="left" w:pos="168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“THAT,</w:t>
      </w:r>
      <w:r w:rsidRPr="00212E8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212E86">
        <w:rPr>
          <w:rFonts w:ascii="Tahoma" w:eastAsia="Times New Roman" w:hAnsi="Tahoma" w:cs="Tahoma"/>
          <w:sz w:val="24"/>
          <w:szCs w:val="24"/>
        </w:rPr>
        <w:t xml:space="preserve">the Report of the Committee on Accounts on </w:t>
      </w:r>
      <w:r w:rsidRPr="00212E86">
        <w:rPr>
          <w:rFonts w:ascii="Tahoma" w:eastAsia="Times New Roman" w:hAnsi="Tahoma" w:cs="Tahoma"/>
          <w:sz w:val="24"/>
          <w:szCs w:val="24"/>
          <w:lang w:val="en-GB"/>
        </w:rPr>
        <w:t>the Audited Accounts for the Financial Year ended 30</w:t>
      </w:r>
      <w:r w:rsidRPr="00212E86">
        <w:rPr>
          <w:rFonts w:ascii="Tahoma" w:eastAsia="Times New Roman" w:hAnsi="Tahoma" w:cs="Tahoma"/>
          <w:sz w:val="24"/>
          <w:szCs w:val="24"/>
          <w:vertAlign w:val="superscript"/>
          <w:lang w:val="en-GB"/>
        </w:rPr>
        <w:t>th</w:t>
      </w:r>
      <w:r w:rsidRPr="00212E86">
        <w:rPr>
          <w:rFonts w:ascii="Tahoma" w:eastAsia="Times New Roman" w:hAnsi="Tahoma" w:cs="Tahoma"/>
          <w:sz w:val="24"/>
          <w:szCs w:val="24"/>
          <w:lang w:val="en-GB"/>
        </w:rPr>
        <w:t xml:space="preserve"> June, 2022, be adopted.”</w:t>
      </w:r>
    </w:p>
    <w:p w14:paraId="468E4B8F" w14:textId="77777777" w:rsidR="00D368E0" w:rsidRPr="00212E86" w:rsidRDefault="00D368E0" w:rsidP="003530EC">
      <w:pPr>
        <w:pStyle w:val="NoSpacing"/>
        <w:jc w:val="both"/>
        <w:rPr>
          <w:rFonts w:ascii="Tahoma" w:hAnsi="Tahoma" w:cs="Tahoma"/>
          <w:sz w:val="24"/>
          <w:szCs w:val="24"/>
          <w:lang w:val="en-GB"/>
        </w:rPr>
      </w:pPr>
      <w:r w:rsidRPr="00212E86">
        <w:rPr>
          <w:rFonts w:ascii="Tahoma" w:hAnsi="Tahoma" w:cs="Tahoma"/>
          <w:sz w:val="24"/>
          <w:szCs w:val="24"/>
          <w:lang w:val="en-GB"/>
        </w:rPr>
        <w:tab/>
      </w:r>
    </w:p>
    <w:p w14:paraId="5BF575C7" w14:textId="77777777" w:rsidR="00D368E0" w:rsidRPr="00212E86" w:rsidRDefault="00D368E0" w:rsidP="002B36E6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</w:rPr>
        <w:t>(Chairperson, Committee on Accounts)</w:t>
      </w:r>
    </w:p>
    <w:p w14:paraId="2A02B06A" w14:textId="77777777" w:rsidR="000041BD" w:rsidRPr="00212E86" w:rsidRDefault="000041BD" w:rsidP="002B36E6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01FC847" w14:textId="421076B5" w:rsidR="000041BD" w:rsidRPr="00212E86" w:rsidRDefault="000041BD" w:rsidP="002B36E6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</w:rPr>
        <w:t xml:space="preserve">Business interrupted on </w:t>
      </w:r>
      <w:r w:rsidR="00004DD8"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</w:rPr>
        <w:t>7</w:t>
      </w:r>
      <w:r w:rsidR="00004DD8"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  <w:vertAlign w:val="superscript"/>
        </w:rPr>
        <w:t>th</w:t>
      </w:r>
      <w:r w:rsidR="00004DD8"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</w:rPr>
        <w:t xml:space="preserve"> July, 2025</w:t>
      </w:r>
    </w:p>
    <w:p w14:paraId="23C33A27" w14:textId="77777777" w:rsidR="002B36E6" w:rsidRPr="00212E86" w:rsidRDefault="002B36E6" w:rsidP="002B36E6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210F80F" w14:textId="77777777" w:rsidR="00F021C9" w:rsidRDefault="00F021C9" w:rsidP="00F021C9">
      <w:pPr>
        <w:pStyle w:val="NoSpacing"/>
      </w:pPr>
    </w:p>
    <w:p w14:paraId="04FF8C96" w14:textId="5D83BDB0" w:rsidR="00B37C85" w:rsidRPr="00B37C85" w:rsidRDefault="00B37C85" w:rsidP="009D0A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B37C85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</w:t>
      </w:r>
      <w:r w:rsidRPr="00B37C85">
        <w:rPr>
          <w:rFonts w:ascii="Tahoma" w:eastAsia="Times New Roman" w:hAnsi="Tahoma" w:cs="Tahoma"/>
          <w:b/>
          <w:bCs/>
          <w:sz w:val="24"/>
          <w:szCs w:val="24"/>
        </w:rPr>
        <w:t xml:space="preserve"> OF THE COMMITTEE ON REGIONAL AFFAIRS AND CONFLICT RESOLUTION ON THE ASSESSMENT OF THE PERFORMANCE AND FUNCTIONING OF THE REGIONAL POLICE CENTRES OF EXCELLENCE AND SECURITY AGENCIES COOPERATION IN TACKLING CROSS-BORDER CRIME WITHIN THE EAC REGION </w:t>
      </w:r>
    </w:p>
    <w:p w14:paraId="5AC0F7D5" w14:textId="77777777" w:rsidR="00B37C85" w:rsidRPr="00B37C85" w:rsidRDefault="00B37C85" w:rsidP="003530EC">
      <w:pPr>
        <w:tabs>
          <w:tab w:val="left" w:pos="3585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7F0A010" w14:textId="77777777" w:rsidR="00B37C85" w:rsidRPr="00212E86" w:rsidRDefault="00B37C85" w:rsidP="003530E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</w:rPr>
        <w:t xml:space="preserve">MOTION </w:t>
      </w:r>
    </w:p>
    <w:p w14:paraId="25395F0E" w14:textId="77777777" w:rsidR="00B37C85" w:rsidRPr="00B37C85" w:rsidRDefault="00B37C85" w:rsidP="003530EC">
      <w:pPr>
        <w:tabs>
          <w:tab w:val="left" w:pos="3585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5005C60" w14:textId="20A1C73C" w:rsidR="00B37C85" w:rsidRPr="00212E86" w:rsidRDefault="00B37C85" w:rsidP="003530EC">
      <w:pPr>
        <w:tabs>
          <w:tab w:val="left" w:pos="3585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37C85">
        <w:rPr>
          <w:rFonts w:ascii="Tahoma" w:eastAsia="Times New Roman" w:hAnsi="Tahoma" w:cs="Tahoma"/>
          <w:b/>
          <w:bCs/>
          <w:sz w:val="24"/>
          <w:szCs w:val="24"/>
        </w:rPr>
        <w:t xml:space="preserve">“THAT, </w:t>
      </w:r>
      <w:r w:rsidRPr="00B37C85">
        <w:rPr>
          <w:rFonts w:ascii="Tahoma" w:eastAsia="Times New Roman" w:hAnsi="Tahoma" w:cs="Tahoma"/>
          <w:sz w:val="24"/>
          <w:szCs w:val="24"/>
        </w:rPr>
        <w:t xml:space="preserve">the </w:t>
      </w:r>
      <w:bookmarkStart w:id="3" w:name="_Hlk202803252"/>
      <w:r w:rsidRPr="00B37C85">
        <w:rPr>
          <w:rFonts w:ascii="Tahoma" w:eastAsia="Times New Roman" w:hAnsi="Tahoma" w:cs="Tahoma"/>
          <w:sz w:val="24"/>
          <w:szCs w:val="24"/>
        </w:rPr>
        <w:t>Report of the Committee on Regional Affairs and Conflict Resolution on the Assessment of the Performance and Functioning of the Regional Police Centr</w:t>
      </w:r>
      <w:r w:rsidR="008B04DE" w:rsidRPr="00212E86">
        <w:rPr>
          <w:rFonts w:ascii="Tahoma" w:eastAsia="Times New Roman" w:hAnsi="Tahoma" w:cs="Tahoma"/>
          <w:sz w:val="24"/>
          <w:szCs w:val="24"/>
        </w:rPr>
        <w:t>e</w:t>
      </w:r>
      <w:r w:rsidRPr="00B37C85">
        <w:rPr>
          <w:rFonts w:ascii="Tahoma" w:eastAsia="Times New Roman" w:hAnsi="Tahoma" w:cs="Tahoma"/>
          <w:sz w:val="24"/>
          <w:szCs w:val="24"/>
        </w:rPr>
        <w:t xml:space="preserve">s of Excellence and Security Agencies Cooperation in Tackling Cross-Border Crime within the EAC Region </w:t>
      </w:r>
      <w:bookmarkEnd w:id="3"/>
      <w:r w:rsidRPr="00B37C85">
        <w:rPr>
          <w:rFonts w:ascii="Tahoma" w:eastAsia="Times New Roman" w:hAnsi="Tahoma" w:cs="Tahoma"/>
          <w:sz w:val="24"/>
          <w:szCs w:val="24"/>
        </w:rPr>
        <w:t xml:space="preserve">be adopted.” </w:t>
      </w:r>
    </w:p>
    <w:p w14:paraId="1819E959" w14:textId="77777777" w:rsidR="00B37C85" w:rsidRPr="00B37C85" w:rsidRDefault="00B37C85" w:rsidP="003530EC">
      <w:pPr>
        <w:tabs>
          <w:tab w:val="left" w:pos="3585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19E4A2DF" w14:textId="77777777" w:rsidR="00B37C85" w:rsidRPr="00212E86" w:rsidRDefault="00B37C85" w:rsidP="00152001">
      <w:pPr>
        <w:tabs>
          <w:tab w:val="left" w:pos="3585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B37C85">
        <w:rPr>
          <w:rFonts w:ascii="Tahoma" w:eastAsia="Times New Roman" w:hAnsi="Tahoma" w:cs="Tahoma"/>
          <w:b/>
          <w:bCs/>
          <w:sz w:val="24"/>
          <w:szCs w:val="24"/>
        </w:rPr>
        <w:t>(Chairperson, Committee on Regional Affairs and Conflict Resolution)</w:t>
      </w:r>
    </w:p>
    <w:p w14:paraId="2A60C251" w14:textId="77777777" w:rsidR="00B37C85" w:rsidRPr="00B37C85" w:rsidRDefault="00B37C85" w:rsidP="003530EC">
      <w:pPr>
        <w:tabs>
          <w:tab w:val="left" w:pos="3585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BF0BB37" w14:textId="024D9CA9" w:rsidR="00A50A04" w:rsidRPr="00212E86" w:rsidRDefault="007606CA" w:rsidP="00212E86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</w:rPr>
        <w:t xml:space="preserve">Business interrupted on </w:t>
      </w:r>
      <w:r w:rsidR="00F064C5"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</w:rPr>
        <w:t>5</w:t>
      </w:r>
      <w:r w:rsidR="00F064C5"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  <w:vertAlign w:val="superscript"/>
        </w:rPr>
        <w:t xml:space="preserve">th </w:t>
      </w:r>
      <w:r w:rsidR="00F064C5"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</w:rPr>
        <w:t>November</w:t>
      </w:r>
      <w:r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</w:rPr>
        <w:t>, 202</w:t>
      </w:r>
      <w:r w:rsidR="00F064C5" w:rsidRPr="00212E86">
        <w:rPr>
          <w:rFonts w:ascii="Tahoma" w:eastAsia="Times New Roman" w:hAnsi="Tahoma" w:cs="Tahoma"/>
          <w:b/>
          <w:bCs/>
          <w:i/>
          <w:iCs/>
          <w:color w:val="EE0000"/>
          <w:sz w:val="24"/>
          <w:szCs w:val="24"/>
        </w:rPr>
        <w:t>4</w:t>
      </w:r>
    </w:p>
    <w:p w14:paraId="1E090F27" w14:textId="77777777" w:rsidR="00212E86" w:rsidRPr="00212E86" w:rsidRDefault="00212E86" w:rsidP="00212E86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27ED4F07" w14:textId="77777777" w:rsidR="00212E86" w:rsidRPr="00212E86" w:rsidRDefault="00212E86" w:rsidP="00212E86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sz w:val="24"/>
          <w:szCs w:val="24"/>
        </w:rPr>
      </w:pPr>
    </w:p>
    <w:bookmarkEnd w:id="0"/>
    <w:p w14:paraId="00F0032D" w14:textId="77777777" w:rsidR="00A50A04" w:rsidRPr="00212E86" w:rsidRDefault="00A50A04" w:rsidP="003530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REPORT</w:t>
      </w:r>
      <w:r w:rsidRPr="00212E86">
        <w:rPr>
          <w:rFonts w:ascii="Tahoma" w:eastAsia="Times New Roman" w:hAnsi="Tahoma" w:cs="Tahoma"/>
          <w:b/>
          <w:bCs/>
          <w:sz w:val="24"/>
          <w:szCs w:val="24"/>
        </w:rPr>
        <w:t xml:space="preserve"> OF THE COMMITTEE ON </w:t>
      </w:r>
      <w:r w:rsidRPr="00212E86">
        <w:rPr>
          <w:rFonts w:ascii="Tahoma" w:eastAsia="Times New Roman" w:hAnsi="Tahoma" w:cs="Tahoma"/>
          <w:b/>
          <w:bCs/>
          <w:sz w:val="24"/>
          <w:szCs w:val="24"/>
          <w:lang w:val="en-GB"/>
        </w:rPr>
        <w:t>REGIONAL AFFAIRS AND CONFLICT RESOLUTION ON IMPLEMENTATION OF EAC SECURITY AND FOREIGN POLICIES</w:t>
      </w:r>
    </w:p>
    <w:p w14:paraId="12B6799E" w14:textId="77777777" w:rsidR="00A50A04" w:rsidRPr="00212E86" w:rsidRDefault="00A50A04" w:rsidP="003530E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7D645293" w14:textId="77777777" w:rsidR="00A50A04" w:rsidRPr="00212E86" w:rsidRDefault="00A50A04" w:rsidP="003530E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0CC0D53E" w14:textId="77777777" w:rsidR="00A50A04" w:rsidRPr="00212E86" w:rsidRDefault="00A50A04" w:rsidP="003530E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CC162BF" w14:textId="77777777" w:rsidR="00A50A04" w:rsidRPr="00212E86" w:rsidRDefault="00A50A04" w:rsidP="003530EC">
      <w:pPr>
        <w:tabs>
          <w:tab w:val="left" w:pos="168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212E86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“THAT,</w:t>
      </w:r>
      <w:r w:rsidRPr="00212E8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212E86">
        <w:rPr>
          <w:rFonts w:ascii="Tahoma" w:eastAsia="Times New Roman" w:hAnsi="Tahoma" w:cs="Tahoma"/>
          <w:sz w:val="24"/>
          <w:szCs w:val="24"/>
        </w:rPr>
        <w:t xml:space="preserve">the Report of the Committee </w:t>
      </w:r>
      <w:bookmarkStart w:id="4" w:name="_Hlk202800780"/>
      <w:r w:rsidRPr="00212E86">
        <w:rPr>
          <w:rFonts w:ascii="Tahoma" w:eastAsia="Times New Roman" w:hAnsi="Tahoma" w:cs="Tahoma"/>
          <w:sz w:val="24"/>
          <w:szCs w:val="24"/>
        </w:rPr>
        <w:t xml:space="preserve">on Regional Affairs and Conflict Resolution </w:t>
      </w:r>
      <w:bookmarkEnd w:id="4"/>
      <w:r w:rsidRPr="00212E86">
        <w:rPr>
          <w:rFonts w:ascii="Tahoma" w:eastAsia="Times New Roman" w:hAnsi="Tahoma" w:cs="Tahoma"/>
          <w:sz w:val="24"/>
          <w:szCs w:val="24"/>
        </w:rPr>
        <w:t>on implementation of EAC Security and Foreign Policies</w:t>
      </w:r>
      <w:r w:rsidRPr="00212E86">
        <w:rPr>
          <w:rFonts w:ascii="Tahoma" w:eastAsia="Times New Roman" w:hAnsi="Tahoma" w:cs="Tahoma"/>
          <w:sz w:val="24"/>
          <w:szCs w:val="24"/>
          <w:lang w:val="en-GB"/>
        </w:rPr>
        <w:t>, be adopted.”</w:t>
      </w:r>
    </w:p>
    <w:p w14:paraId="01F60E36" w14:textId="77777777" w:rsidR="00A50A04" w:rsidRPr="00212E86" w:rsidRDefault="00A50A04" w:rsidP="003530EC">
      <w:pPr>
        <w:pStyle w:val="NoSpacing"/>
        <w:jc w:val="both"/>
        <w:rPr>
          <w:rFonts w:ascii="Tahoma" w:hAnsi="Tahoma" w:cs="Tahoma"/>
          <w:sz w:val="24"/>
          <w:szCs w:val="24"/>
          <w:lang w:val="en-GB"/>
        </w:rPr>
      </w:pPr>
      <w:r w:rsidRPr="00212E86">
        <w:rPr>
          <w:rFonts w:ascii="Tahoma" w:hAnsi="Tahoma" w:cs="Tahoma"/>
          <w:sz w:val="24"/>
          <w:szCs w:val="24"/>
          <w:lang w:val="en-GB"/>
        </w:rPr>
        <w:tab/>
      </w:r>
    </w:p>
    <w:p w14:paraId="578BD268" w14:textId="77777777" w:rsidR="00A50A04" w:rsidRPr="00212E86" w:rsidRDefault="00A50A04" w:rsidP="00152001">
      <w:pPr>
        <w:pStyle w:val="NoSpacing"/>
        <w:tabs>
          <w:tab w:val="left" w:pos="3810"/>
        </w:tabs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212E86">
        <w:rPr>
          <w:rFonts w:ascii="Tahoma" w:eastAsia="Times New Roman" w:hAnsi="Tahoma" w:cs="Tahoma"/>
          <w:b/>
          <w:bCs/>
          <w:sz w:val="24"/>
          <w:szCs w:val="24"/>
        </w:rPr>
        <w:t>(Chairperson, Committee on Regional Affairs and Conflict Resolution)</w:t>
      </w:r>
    </w:p>
    <w:p w14:paraId="219D0638" w14:textId="77777777" w:rsidR="00410BE4" w:rsidRDefault="00410BE4" w:rsidP="003530EC">
      <w:pPr>
        <w:spacing w:after="0" w:line="240" w:lineRule="auto"/>
        <w:jc w:val="both"/>
        <w:rPr>
          <w:rFonts w:ascii="Tahoma" w:eastAsia="Calibri" w:hAnsi="Tahoma" w:cs="Tahoma"/>
          <w:b/>
          <w:bCs/>
          <w:sz w:val="24"/>
          <w:szCs w:val="24"/>
        </w:rPr>
      </w:pPr>
    </w:p>
    <w:p w14:paraId="2C96FD77" w14:textId="77777777" w:rsidR="003261EA" w:rsidRDefault="003261EA" w:rsidP="003530EC">
      <w:pPr>
        <w:spacing w:after="0" w:line="240" w:lineRule="auto"/>
        <w:jc w:val="both"/>
        <w:rPr>
          <w:rFonts w:ascii="Tahoma" w:eastAsia="Calibri" w:hAnsi="Tahoma" w:cs="Tahoma"/>
          <w:b/>
          <w:bCs/>
          <w:sz w:val="24"/>
          <w:szCs w:val="24"/>
        </w:rPr>
      </w:pPr>
    </w:p>
    <w:p w14:paraId="40B2E5A7" w14:textId="77777777" w:rsidR="003261EA" w:rsidRDefault="003261EA" w:rsidP="003530EC">
      <w:pPr>
        <w:spacing w:after="0" w:line="240" w:lineRule="auto"/>
        <w:jc w:val="both"/>
        <w:rPr>
          <w:rFonts w:ascii="Tahoma" w:eastAsia="Calibri" w:hAnsi="Tahoma" w:cs="Tahoma"/>
          <w:b/>
          <w:bCs/>
          <w:sz w:val="24"/>
          <w:szCs w:val="24"/>
        </w:rPr>
      </w:pPr>
    </w:p>
    <w:p w14:paraId="50AF6526" w14:textId="77777777" w:rsidR="003261EA" w:rsidRDefault="003261EA" w:rsidP="003530EC">
      <w:pPr>
        <w:spacing w:after="0" w:line="240" w:lineRule="auto"/>
        <w:jc w:val="both"/>
        <w:rPr>
          <w:rFonts w:ascii="Tahoma" w:eastAsia="Calibri" w:hAnsi="Tahoma" w:cs="Tahoma"/>
          <w:b/>
          <w:bCs/>
          <w:sz w:val="24"/>
          <w:szCs w:val="24"/>
        </w:rPr>
      </w:pPr>
    </w:p>
    <w:p w14:paraId="072F58CA" w14:textId="77777777" w:rsidR="00DF2367" w:rsidRDefault="00DF2367" w:rsidP="003530EC">
      <w:pPr>
        <w:spacing w:after="0" w:line="240" w:lineRule="auto"/>
        <w:jc w:val="both"/>
        <w:rPr>
          <w:rFonts w:ascii="Tahoma" w:eastAsia="Calibri" w:hAnsi="Tahoma" w:cs="Tahoma"/>
          <w:b/>
          <w:bCs/>
          <w:sz w:val="24"/>
          <w:szCs w:val="24"/>
        </w:rPr>
      </w:pPr>
    </w:p>
    <w:p w14:paraId="127095F4" w14:textId="0D5ED863" w:rsidR="003D114E" w:rsidRPr="003D114E" w:rsidRDefault="00645C8B" w:rsidP="003D114E">
      <w:pPr>
        <w:tabs>
          <w:tab w:val="left" w:pos="1095"/>
        </w:tabs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-</w:t>
      </w:r>
    </w:p>
    <w:sectPr w:rsidR="003D114E" w:rsidRPr="003D114E" w:rsidSect="00B365E5">
      <w:footerReference w:type="default" r:id="rId9"/>
      <w:pgSz w:w="12240" w:h="15840"/>
      <w:pgMar w:top="810" w:right="990" w:bottom="1008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AEFB" w14:textId="77777777" w:rsidR="006D7B53" w:rsidRDefault="006D7B53" w:rsidP="00693780">
      <w:pPr>
        <w:spacing w:after="0" w:line="240" w:lineRule="auto"/>
      </w:pPr>
      <w:r>
        <w:separator/>
      </w:r>
    </w:p>
  </w:endnote>
  <w:endnote w:type="continuationSeparator" w:id="0">
    <w:p w14:paraId="5A567943" w14:textId="77777777" w:rsidR="006D7B53" w:rsidRDefault="006D7B53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4896" w14:textId="77777777" w:rsidR="004B3E99" w:rsidRPr="00CD2325" w:rsidRDefault="004B3E99" w:rsidP="0001796E">
    <w:pPr>
      <w:spacing w:after="0" w:line="240" w:lineRule="auto"/>
      <w:jc w:val="both"/>
      <w:rPr>
        <w:rFonts w:ascii="Tahoma" w:eastAsia="Times New Roman" w:hAnsi="Tahoma" w:cs="Tahoma"/>
        <w:sz w:val="32"/>
        <w:szCs w:val="32"/>
        <w:lang w:val="en-GB"/>
      </w:rPr>
    </w:pPr>
    <w:r w:rsidRPr="00CD2325">
      <w:rPr>
        <w:rFonts w:ascii="Tahoma" w:eastAsia="Times New Roman" w:hAnsi="Tahoma" w:cs="Tahoma"/>
        <w:sz w:val="16"/>
        <w:szCs w:val="16"/>
        <w:lang w:val="en-GB"/>
      </w:rPr>
      <w:t>Clerk’s Chambers</w:t>
    </w:r>
  </w:p>
  <w:p w14:paraId="697BAF94" w14:textId="77777777" w:rsidR="0001796E" w:rsidRDefault="006E0B6C" w:rsidP="0001796E">
    <w:pPr>
      <w:spacing w:after="0" w:line="240" w:lineRule="auto"/>
      <w:jc w:val="both"/>
      <w:rPr>
        <w:rFonts w:ascii="Tahoma" w:eastAsia="Times New Roman" w:hAnsi="Tahoma" w:cs="Tahoma"/>
        <w:sz w:val="16"/>
        <w:szCs w:val="16"/>
        <w:lang w:val="en-GB"/>
      </w:rPr>
    </w:pPr>
    <w:r>
      <w:rPr>
        <w:rFonts w:ascii="Tahoma" w:eastAsia="Times New Roman" w:hAnsi="Tahoma" w:cs="Tahoma"/>
        <w:sz w:val="16"/>
        <w:szCs w:val="16"/>
        <w:lang w:val="en-GB"/>
      </w:rPr>
      <w:t xml:space="preserve">Third 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 xml:space="preserve">Floor, EALA </w:t>
    </w:r>
    <w:r w:rsidR="00775AB3" w:rsidRPr="00CD2325">
      <w:rPr>
        <w:rFonts w:ascii="Tahoma" w:eastAsia="Times New Roman" w:hAnsi="Tahoma" w:cs="Tahoma"/>
        <w:sz w:val="16"/>
        <w:szCs w:val="16"/>
        <w:lang w:val="en-GB"/>
      </w:rPr>
      <w:t xml:space="preserve">Wing, </w:t>
    </w:r>
  </w:p>
  <w:p w14:paraId="11B355B8" w14:textId="459B8F51" w:rsidR="004B3E99" w:rsidRPr="00DC31DF" w:rsidRDefault="00775AB3" w:rsidP="0001796E">
    <w:pPr>
      <w:spacing w:after="0" w:line="240" w:lineRule="auto"/>
      <w:jc w:val="both"/>
      <w:rPr>
        <w:rFonts w:ascii="Tahoma" w:eastAsia="Times New Roman" w:hAnsi="Tahoma" w:cs="Tahoma"/>
        <w:b/>
        <w:bCs/>
        <w:sz w:val="12"/>
        <w:szCs w:val="12"/>
        <w:lang w:val="en-GB"/>
      </w:rPr>
    </w:pPr>
    <w:r w:rsidRPr="00CD2325">
      <w:rPr>
        <w:rFonts w:ascii="Tahoma" w:eastAsia="Times New Roman" w:hAnsi="Tahoma" w:cs="Tahoma"/>
        <w:sz w:val="16"/>
        <w:szCs w:val="16"/>
        <w:lang w:val="en-GB"/>
      </w:rPr>
      <w:t>EAC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 xml:space="preserve"> Headquarters</w:t>
    </w:r>
    <w:r w:rsidR="008B7269" w:rsidRPr="00CD2325">
      <w:rPr>
        <w:rFonts w:ascii="Tahoma" w:eastAsia="Times New Roman" w:hAnsi="Tahoma" w:cs="Tahoma"/>
        <w:sz w:val="16"/>
        <w:szCs w:val="16"/>
        <w:lang w:val="en-GB"/>
      </w:rPr>
      <w:t xml:space="preserve">, 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>Arusha, TANZANIA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8B726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01796E">
      <w:rPr>
        <w:rFonts w:ascii="Tahoma" w:eastAsia="Times New Roman" w:hAnsi="Tahoma" w:cs="Tahoma"/>
        <w:sz w:val="16"/>
        <w:szCs w:val="16"/>
        <w:lang w:val="en-GB"/>
      </w:rPr>
      <w:t xml:space="preserve">                              </w:t>
    </w:r>
    <w:r w:rsidR="008B726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957974">
      <w:rPr>
        <w:rFonts w:ascii="Tahoma" w:eastAsia="Times New Roman" w:hAnsi="Tahoma" w:cs="Tahoma"/>
        <w:sz w:val="16"/>
        <w:szCs w:val="16"/>
        <w:lang w:val="en-GB"/>
      </w:rPr>
      <w:t xml:space="preserve">                             </w:t>
    </w:r>
    <w:r w:rsidR="004B3E99" w:rsidRPr="00CD2325">
      <w:rPr>
        <w:rFonts w:ascii="Tahoma" w:eastAsia="Times New Roman" w:hAnsi="Tahoma" w:cs="Tahoma"/>
        <w:sz w:val="16"/>
        <w:szCs w:val="16"/>
        <w:lang w:val="en-GB"/>
      </w:rPr>
      <w:tab/>
    </w:r>
    <w:r w:rsidR="0003582A">
      <w:rPr>
        <w:rFonts w:ascii="Tahoma" w:eastAsia="Times New Roman" w:hAnsi="Tahoma" w:cs="Tahoma"/>
        <w:sz w:val="16"/>
        <w:szCs w:val="16"/>
        <w:lang w:val="en-GB"/>
      </w:rPr>
      <w:t>8</w:t>
    </w:r>
    <w:r w:rsidR="00727051" w:rsidRPr="00DC31DF">
      <w:rPr>
        <w:rFonts w:ascii="Tahoma" w:eastAsia="Times New Roman" w:hAnsi="Tahoma" w:cs="Tahoma"/>
        <w:b/>
        <w:bCs/>
        <w:sz w:val="16"/>
        <w:szCs w:val="16"/>
        <w:vertAlign w:val="superscript"/>
        <w:lang w:val="en-GB"/>
      </w:rPr>
      <w:t>th</w:t>
    </w:r>
    <w:r w:rsidR="00727051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 xml:space="preserve"> July, 2025</w:t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6"/>
        <w:szCs w:val="16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2"/>
        <w:szCs w:val="12"/>
        <w:lang w:val="en-GB"/>
      </w:rPr>
      <w:tab/>
    </w:r>
    <w:r w:rsidR="004B3E99" w:rsidRPr="00DC31DF">
      <w:rPr>
        <w:rFonts w:ascii="Tahoma" w:eastAsia="Times New Roman" w:hAnsi="Tahoma" w:cs="Tahoma"/>
        <w:b/>
        <w:bCs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4287" w14:textId="77777777" w:rsidR="006D7B53" w:rsidRDefault="006D7B53" w:rsidP="00693780">
      <w:pPr>
        <w:spacing w:after="0" w:line="240" w:lineRule="auto"/>
      </w:pPr>
      <w:r>
        <w:separator/>
      </w:r>
    </w:p>
  </w:footnote>
  <w:footnote w:type="continuationSeparator" w:id="0">
    <w:p w14:paraId="3820D369" w14:textId="77777777" w:rsidR="006D7B53" w:rsidRDefault="006D7B53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31153"/>
    <w:multiLevelType w:val="hybridMultilevel"/>
    <w:tmpl w:val="A0A42CC2"/>
    <w:lvl w:ilvl="0" w:tplc="933CE20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C540D"/>
    <w:multiLevelType w:val="hybridMultilevel"/>
    <w:tmpl w:val="52A4E6DC"/>
    <w:lvl w:ilvl="0" w:tplc="6B586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2D5C4E"/>
    <w:multiLevelType w:val="multilevel"/>
    <w:tmpl w:val="68D2DD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B85449"/>
    <w:multiLevelType w:val="hybridMultilevel"/>
    <w:tmpl w:val="B71A09E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E534C"/>
    <w:multiLevelType w:val="hybridMultilevel"/>
    <w:tmpl w:val="6186B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F2882"/>
    <w:multiLevelType w:val="hybridMultilevel"/>
    <w:tmpl w:val="654CB47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73B9D"/>
    <w:multiLevelType w:val="hybridMultilevel"/>
    <w:tmpl w:val="A0A42CC2"/>
    <w:lvl w:ilvl="0" w:tplc="FFFFFFFF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FF2600"/>
    <w:multiLevelType w:val="hybridMultilevel"/>
    <w:tmpl w:val="CF8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475">
    <w:abstractNumId w:val="18"/>
  </w:num>
  <w:num w:numId="2" w16cid:durableId="522594498">
    <w:abstractNumId w:val="26"/>
  </w:num>
  <w:num w:numId="3" w16cid:durableId="247202211">
    <w:abstractNumId w:val="21"/>
  </w:num>
  <w:num w:numId="4" w16cid:durableId="1347247793">
    <w:abstractNumId w:val="10"/>
  </w:num>
  <w:num w:numId="5" w16cid:durableId="521936786">
    <w:abstractNumId w:val="3"/>
  </w:num>
  <w:num w:numId="6" w16cid:durableId="1408041495">
    <w:abstractNumId w:val="16"/>
  </w:num>
  <w:num w:numId="7" w16cid:durableId="1612861456">
    <w:abstractNumId w:val="4"/>
  </w:num>
  <w:num w:numId="8" w16cid:durableId="952246485">
    <w:abstractNumId w:val="7"/>
  </w:num>
  <w:num w:numId="9" w16cid:durableId="1082800260">
    <w:abstractNumId w:val="11"/>
  </w:num>
  <w:num w:numId="10" w16cid:durableId="1844856485">
    <w:abstractNumId w:val="30"/>
  </w:num>
  <w:num w:numId="11" w16cid:durableId="789739594">
    <w:abstractNumId w:val="15"/>
  </w:num>
  <w:num w:numId="12" w16cid:durableId="92014200">
    <w:abstractNumId w:val="22"/>
  </w:num>
  <w:num w:numId="13" w16cid:durableId="1347710791">
    <w:abstractNumId w:val="20"/>
  </w:num>
  <w:num w:numId="14" w16cid:durableId="1574388543">
    <w:abstractNumId w:val="28"/>
  </w:num>
  <w:num w:numId="15" w16cid:durableId="956523185">
    <w:abstractNumId w:val="29"/>
  </w:num>
  <w:num w:numId="16" w16cid:durableId="1125154403">
    <w:abstractNumId w:val="14"/>
  </w:num>
  <w:num w:numId="17" w16cid:durableId="273942876">
    <w:abstractNumId w:val="2"/>
  </w:num>
  <w:num w:numId="18" w16cid:durableId="1073892932">
    <w:abstractNumId w:val="1"/>
  </w:num>
  <w:num w:numId="19" w16cid:durableId="149836573">
    <w:abstractNumId w:val="13"/>
  </w:num>
  <w:num w:numId="20" w16cid:durableId="1035275833">
    <w:abstractNumId w:val="5"/>
  </w:num>
  <w:num w:numId="21" w16cid:durableId="1319723479">
    <w:abstractNumId w:val="33"/>
  </w:num>
  <w:num w:numId="22" w16cid:durableId="1922251169">
    <w:abstractNumId w:val="8"/>
  </w:num>
  <w:num w:numId="23" w16cid:durableId="1625575778">
    <w:abstractNumId w:val="0"/>
  </w:num>
  <w:num w:numId="24" w16cid:durableId="1963534783">
    <w:abstractNumId w:val="31"/>
  </w:num>
  <w:num w:numId="25" w16cid:durableId="447357052">
    <w:abstractNumId w:val="9"/>
  </w:num>
  <w:num w:numId="26" w16cid:durableId="1432315087">
    <w:abstractNumId w:val="23"/>
  </w:num>
  <w:num w:numId="27" w16cid:durableId="1294943920">
    <w:abstractNumId w:val="32"/>
  </w:num>
  <w:num w:numId="28" w16cid:durableId="978729565">
    <w:abstractNumId w:val="25"/>
  </w:num>
  <w:num w:numId="29" w16cid:durableId="1505441510">
    <w:abstractNumId w:val="24"/>
  </w:num>
  <w:num w:numId="30" w16cid:durableId="1538277722">
    <w:abstractNumId w:val="19"/>
  </w:num>
  <w:num w:numId="31" w16cid:durableId="224033388">
    <w:abstractNumId w:val="17"/>
  </w:num>
  <w:num w:numId="32" w16cid:durableId="479077071">
    <w:abstractNumId w:val="6"/>
  </w:num>
  <w:num w:numId="33" w16cid:durableId="831334453">
    <w:abstractNumId w:val="27"/>
  </w:num>
  <w:num w:numId="34" w16cid:durableId="206991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041BD"/>
    <w:rsid w:val="00004DD8"/>
    <w:rsid w:val="0001796E"/>
    <w:rsid w:val="00020842"/>
    <w:rsid w:val="0003582A"/>
    <w:rsid w:val="00063037"/>
    <w:rsid w:val="00082805"/>
    <w:rsid w:val="0008549A"/>
    <w:rsid w:val="00094EBD"/>
    <w:rsid w:val="000975FA"/>
    <w:rsid w:val="000C68AF"/>
    <w:rsid w:val="000D120B"/>
    <w:rsid w:val="000F44EE"/>
    <w:rsid w:val="00106C1D"/>
    <w:rsid w:val="00106D63"/>
    <w:rsid w:val="0011717F"/>
    <w:rsid w:val="001247EE"/>
    <w:rsid w:val="001350E1"/>
    <w:rsid w:val="00142C01"/>
    <w:rsid w:val="001449C3"/>
    <w:rsid w:val="00150299"/>
    <w:rsid w:val="00152001"/>
    <w:rsid w:val="00152E0E"/>
    <w:rsid w:val="001B2EEA"/>
    <w:rsid w:val="001B78C3"/>
    <w:rsid w:val="001C0E96"/>
    <w:rsid w:val="001D4A54"/>
    <w:rsid w:val="001D7506"/>
    <w:rsid w:val="001E5672"/>
    <w:rsid w:val="001E7095"/>
    <w:rsid w:val="001F0B5E"/>
    <w:rsid w:val="001F3CE6"/>
    <w:rsid w:val="001F48CA"/>
    <w:rsid w:val="00212E86"/>
    <w:rsid w:val="00221585"/>
    <w:rsid w:val="00232722"/>
    <w:rsid w:val="00236E77"/>
    <w:rsid w:val="00244855"/>
    <w:rsid w:val="002668D1"/>
    <w:rsid w:val="002713AB"/>
    <w:rsid w:val="00273672"/>
    <w:rsid w:val="00283A11"/>
    <w:rsid w:val="002A724A"/>
    <w:rsid w:val="002B10C1"/>
    <w:rsid w:val="002B36E6"/>
    <w:rsid w:val="002C2509"/>
    <w:rsid w:val="002C551C"/>
    <w:rsid w:val="002D1278"/>
    <w:rsid w:val="002D46D1"/>
    <w:rsid w:val="002E1D41"/>
    <w:rsid w:val="002E7320"/>
    <w:rsid w:val="00303DBB"/>
    <w:rsid w:val="00303FC0"/>
    <w:rsid w:val="00311976"/>
    <w:rsid w:val="00317C3B"/>
    <w:rsid w:val="003235F2"/>
    <w:rsid w:val="00324719"/>
    <w:rsid w:val="003261EA"/>
    <w:rsid w:val="0033589D"/>
    <w:rsid w:val="0034394D"/>
    <w:rsid w:val="003530EC"/>
    <w:rsid w:val="00356CE3"/>
    <w:rsid w:val="00370E7D"/>
    <w:rsid w:val="00372726"/>
    <w:rsid w:val="003824C9"/>
    <w:rsid w:val="00385D21"/>
    <w:rsid w:val="00392133"/>
    <w:rsid w:val="003930C3"/>
    <w:rsid w:val="003B2D03"/>
    <w:rsid w:val="003B40BA"/>
    <w:rsid w:val="003B59CE"/>
    <w:rsid w:val="003C069D"/>
    <w:rsid w:val="003C562A"/>
    <w:rsid w:val="003D114E"/>
    <w:rsid w:val="003F210E"/>
    <w:rsid w:val="0041028C"/>
    <w:rsid w:val="00410BE4"/>
    <w:rsid w:val="00411778"/>
    <w:rsid w:val="0043455C"/>
    <w:rsid w:val="004377D8"/>
    <w:rsid w:val="004524D5"/>
    <w:rsid w:val="00452BC3"/>
    <w:rsid w:val="004877B1"/>
    <w:rsid w:val="00493736"/>
    <w:rsid w:val="00496FB6"/>
    <w:rsid w:val="004B3E99"/>
    <w:rsid w:val="004D4126"/>
    <w:rsid w:val="004E2690"/>
    <w:rsid w:val="004E39CE"/>
    <w:rsid w:val="004E770B"/>
    <w:rsid w:val="004E7A38"/>
    <w:rsid w:val="004F2D29"/>
    <w:rsid w:val="004F5BC7"/>
    <w:rsid w:val="005236E1"/>
    <w:rsid w:val="00523DCC"/>
    <w:rsid w:val="0053213D"/>
    <w:rsid w:val="00534ABC"/>
    <w:rsid w:val="00537AA3"/>
    <w:rsid w:val="0054150A"/>
    <w:rsid w:val="005473C6"/>
    <w:rsid w:val="00575184"/>
    <w:rsid w:val="00577244"/>
    <w:rsid w:val="0058714A"/>
    <w:rsid w:val="005872A8"/>
    <w:rsid w:val="00590228"/>
    <w:rsid w:val="005A78BF"/>
    <w:rsid w:val="005C326E"/>
    <w:rsid w:val="005C37B3"/>
    <w:rsid w:val="005D206C"/>
    <w:rsid w:val="005D4F8E"/>
    <w:rsid w:val="005E5B5A"/>
    <w:rsid w:val="005F6C80"/>
    <w:rsid w:val="00613302"/>
    <w:rsid w:val="00633AD0"/>
    <w:rsid w:val="00640285"/>
    <w:rsid w:val="00641AEA"/>
    <w:rsid w:val="00645C8B"/>
    <w:rsid w:val="00645D4F"/>
    <w:rsid w:val="00656791"/>
    <w:rsid w:val="00660A83"/>
    <w:rsid w:val="00681F32"/>
    <w:rsid w:val="00693780"/>
    <w:rsid w:val="0069601F"/>
    <w:rsid w:val="006A0229"/>
    <w:rsid w:val="006D5870"/>
    <w:rsid w:val="006D7B53"/>
    <w:rsid w:val="006E0B6C"/>
    <w:rsid w:val="006F1943"/>
    <w:rsid w:val="00706331"/>
    <w:rsid w:val="00715077"/>
    <w:rsid w:val="00721FC7"/>
    <w:rsid w:val="00726B30"/>
    <w:rsid w:val="00727051"/>
    <w:rsid w:val="00751BC6"/>
    <w:rsid w:val="0076067D"/>
    <w:rsid w:val="007606CA"/>
    <w:rsid w:val="0076588D"/>
    <w:rsid w:val="00774518"/>
    <w:rsid w:val="00775AB3"/>
    <w:rsid w:val="00787FA2"/>
    <w:rsid w:val="00791949"/>
    <w:rsid w:val="00793F2C"/>
    <w:rsid w:val="00797E80"/>
    <w:rsid w:val="007B3BD1"/>
    <w:rsid w:val="007B42BE"/>
    <w:rsid w:val="007B5DD6"/>
    <w:rsid w:val="007C400F"/>
    <w:rsid w:val="007D398B"/>
    <w:rsid w:val="007D3F8D"/>
    <w:rsid w:val="007E57E1"/>
    <w:rsid w:val="007F51C7"/>
    <w:rsid w:val="00800FB9"/>
    <w:rsid w:val="00811C96"/>
    <w:rsid w:val="008137A2"/>
    <w:rsid w:val="00832E61"/>
    <w:rsid w:val="00834224"/>
    <w:rsid w:val="008416FB"/>
    <w:rsid w:val="00851BBC"/>
    <w:rsid w:val="00856AF7"/>
    <w:rsid w:val="00872C95"/>
    <w:rsid w:val="00876E76"/>
    <w:rsid w:val="00887E69"/>
    <w:rsid w:val="008908D9"/>
    <w:rsid w:val="008A155F"/>
    <w:rsid w:val="008A466D"/>
    <w:rsid w:val="008B04DE"/>
    <w:rsid w:val="008B452E"/>
    <w:rsid w:val="008B7269"/>
    <w:rsid w:val="008C5E50"/>
    <w:rsid w:val="008F03CF"/>
    <w:rsid w:val="008F3930"/>
    <w:rsid w:val="00913023"/>
    <w:rsid w:val="00926215"/>
    <w:rsid w:val="00927B9F"/>
    <w:rsid w:val="009357A8"/>
    <w:rsid w:val="00940353"/>
    <w:rsid w:val="00953E4C"/>
    <w:rsid w:val="00957277"/>
    <w:rsid w:val="00957974"/>
    <w:rsid w:val="00966104"/>
    <w:rsid w:val="0097149E"/>
    <w:rsid w:val="009716EC"/>
    <w:rsid w:val="00984342"/>
    <w:rsid w:val="00990362"/>
    <w:rsid w:val="00991325"/>
    <w:rsid w:val="009A1F06"/>
    <w:rsid w:val="009A5FF8"/>
    <w:rsid w:val="009B1973"/>
    <w:rsid w:val="009C2FF5"/>
    <w:rsid w:val="009D0AE7"/>
    <w:rsid w:val="00A045EF"/>
    <w:rsid w:val="00A0467B"/>
    <w:rsid w:val="00A04EFB"/>
    <w:rsid w:val="00A107EB"/>
    <w:rsid w:val="00A107EC"/>
    <w:rsid w:val="00A16D3F"/>
    <w:rsid w:val="00A17843"/>
    <w:rsid w:val="00A20BE2"/>
    <w:rsid w:val="00A257EA"/>
    <w:rsid w:val="00A31EC1"/>
    <w:rsid w:val="00A32EE0"/>
    <w:rsid w:val="00A4239E"/>
    <w:rsid w:val="00A46645"/>
    <w:rsid w:val="00A50A04"/>
    <w:rsid w:val="00A531CC"/>
    <w:rsid w:val="00A56A0F"/>
    <w:rsid w:val="00A84977"/>
    <w:rsid w:val="00AA0FC1"/>
    <w:rsid w:val="00AA4B2F"/>
    <w:rsid w:val="00AC18E3"/>
    <w:rsid w:val="00AE134E"/>
    <w:rsid w:val="00AE4E05"/>
    <w:rsid w:val="00AE7E55"/>
    <w:rsid w:val="00B0144D"/>
    <w:rsid w:val="00B020FC"/>
    <w:rsid w:val="00B05F52"/>
    <w:rsid w:val="00B13A8E"/>
    <w:rsid w:val="00B20E50"/>
    <w:rsid w:val="00B2305F"/>
    <w:rsid w:val="00B34261"/>
    <w:rsid w:val="00B365E5"/>
    <w:rsid w:val="00B37C85"/>
    <w:rsid w:val="00B42F4E"/>
    <w:rsid w:val="00B520FD"/>
    <w:rsid w:val="00B53691"/>
    <w:rsid w:val="00B568D1"/>
    <w:rsid w:val="00B56919"/>
    <w:rsid w:val="00B7478F"/>
    <w:rsid w:val="00B76494"/>
    <w:rsid w:val="00B85E8C"/>
    <w:rsid w:val="00B93C1B"/>
    <w:rsid w:val="00BA494D"/>
    <w:rsid w:val="00BB4A3B"/>
    <w:rsid w:val="00BE16D4"/>
    <w:rsid w:val="00BE3F8D"/>
    <w:rsid w:val="00BF2A35"/>
    <w:rsid w:val="00BF6992"/>
    <w:rsid w:val="00C00846"/>
    <w:rsid w:val="00C00854"/>
    <w:rsid w:val="00C064E3"/>
    <w:rsid w:val="00C15416"/>
    <w:rsid w:val="00C23709"/>
    <w:rsid w:val="00C336BB"/>
    <w:rsid w:val="00C36A34"/>
    <w:rsid w:val="00C567BB"/>
    <w:rsid w:val="00C570CA"/>
    <w:rsid w:val="00C64C2D"/>
    <w:rsid w:val="00C72FCF"/>
    <w:rsid w:val="00C7578D"/>
    <w:rsid w:val="00CA0851"/>
    <w:rsid w:val="00CA3C07"/>
    <w:rsid w:val="00CB5CCF"/>
    <w:rsid w:val="00CC6180"/>
    <w:rsid w:val="00CD2325"/>
    <w:rsid w:val="00CE5076"/>
    <w:rsid w:val="00CF0536"/>
    <w:rsid w:val="00D07863"/>
    <w:rsid w:val="00D14D6A"/>
    <w:rsid w:val="00D17B0C"/>
    <w:rsid w:val="00D35B87"/>
    <w:rsid w:val="00D368E0"/>
    <w:rsid w:val="00D406F3"/>
    <w:rsid w:val="00D41E90"/>
    <w:rsid w:val="00D46895"/>
    <w:rsid w:val="00D60555"/>
    <w:rsid w:val="00D65DA9"/>
    <w:rsid w:val="00D70518"/>
    <w:rsid w:val="00D738CC"/>
    <w:rsid w:val="00D85543"/>
    <w:rsid w:val="00D87A3F"/>
    <w:rsid w:val="00D93635"/>
    <w:rsid w:val="00D9588C"/>
    <w:rsid w:val="00DA4DCB"/>
    <w:rsid w:val="00DA623C"/>
    <w:rsid w:val="00DB47FE"/>
    <w:rsid w:val="00DC1A3F"/>
    <w:rsid w:val="00DC31DF"/>
    <w:rsid w:val="00DD23C8"/>
    <w:rsid w:val="00DD6479"/>
    <w:rsid w:val="00DE3283"/>
    <w:rsid w:val="00DE66FC"/>
    <w:rsid w:val="00DF1691"/>
    <w:rsid w:val="00DF2367"/>
    <w:rsid w:val="00E03940"/>
    <w:rsid w:val="00E04D8E"/>
    <w:rsid w:val="00E07426"/>
    <w:rsid w:val="00E14B69"/>
    <w:rsid w:val="00E16A7C"/>
    <w:rsid w:val="00E30012"/>
    <w:rsid w:val="00E34765"/>
    <w:rsid w:val="00E37C9F"/>
    <w:rsid w:val="00E47464"/>
    <w:rsid w:val="00E52E18"/>
    <w:rsid w:val="00E5708C"/>
    <w:rsid w:val="00E57A84"/>
    <w:rsid w:val="00E60AE5"/>
    <w:rsid w:val="00E650D5"/>
    <w:rsid w:val="00E7281C"/>
    <w:rsid w:val="00E748CD"/>
    <w:rsid w:val="00E81CD3"/>
    <w:rsid w:val="00E831C7"/>
    <w:rsid w:val="00E914E6"/>
    <w:rsid w:val="00EA16E0"/>
    <w:rsid w:val="00EA66C2"/>
    <w:rsid w:val="00EB6B2C"/>
    <w:rsid w:val="00ED5F37"/>
    <w:rsid w:val="00ED6EB6"/>
    <w:rsid w:val="00EE4BB9"/>
    <w:rsid w:val="00EF142B"/>
    <w:rsid w:val="00EF167A"/>
    <w:rsid w:val="00F021C9"/>
    <w:rsid w:val="00F03898"/>
    <w:rsid w:val="00F04257"/>
    <w:rsid w:val="00F064C5"/>
    <w:rsid w:val="00F13167"/>
    <w:rsid w:val="00F14D79"/>
    <w:rsid w:val="00F2462C"/>
    <w:rsid w:val="00F253A0"/>
    <w:rsid w:val="00F31B7C"/>
    <w:rsid w:val="00F55D9D"/>
    <w:rsid w:val="00F779F3"/>
    <w:rsid w:val="00FA2154"/>
    <w:rsid w:val="00FA58E0"/>
    <w:rsid w:val="00FA662B"/>
    <w:rsid w:val="00FE1DF1"/>
    <w:rsid w:val="00FE6442"/>
    <w:rsid w:val="00FF1A46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3</cp:revision>
  <cp:lastPrinted>2025-07-07T09:21:00Z</cp:lastPrinted>
  <dcterms:created xsi:type="dcterms:W3CDTF">2025-07-08T07:34:00Z</dcterms:created>
  <dcterms:modified xsi:type="dcterms:W3CDTF">2025-07-08T07:45:00Z</dcterms:modified>
</cp:coreProperties>
</file>