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7760" w14:textId="77777777" w:rsidR="00DB1210" w:rsidRDefault="00DB1210">
      <w:pPr>
        <w:spacing w:after="400"/>
      </w:pPr>
    </w:p>
    <w:p w14:paraId="475C48A9" w14:textId="77777777" w:rsidR="00DB1210" w:rsidRDefault="00FB1BF2">
      <w:pPr>
        <w:spacing w:after="60"/>
        <w:jc w:val="center"/>
      </w:pPr>
      <w:r>
        <w:rPr>
          <w:b/>
          <w:bCs/>
          <w:color w:val="0F1E50"/>
          <w:sz w:val="44"/>
          <w:szCs w:val="44"/>
        </w:rPr>
        <w:t>THE ARUSHA</w:t>
      </w:r>
    </w:p>
    <w:p w14:paraId="3A5C4A5F" w14:textId="77777777" w:rsidR="00DB1210" w:rsidRDefault="00FB1BF2">
      <w:pPr>
        <w:spacing w:after="80"/>
        <w:jc w:val="center"/>
      </w:pPr>
      <w:r>
        <w:rPr>
          <w:b/>
          <w:bCs/>
          <w:color w:val="0F1E50"/>
          <w:sz w:val="44"/>
          <w:szCs w:val="44"/>
        </w:rPr>
        <w:t>STATEMENT OF COMMITMENT</w:t>
      </w:r>
    </w:p>
    <w:p w14:paraId="019DE33A" w14:textId="77777777" w:rsidR="00DB1210" w:rsidRDefault="00FB1BF2">
      <w:pPr>
        <w:spacing w:after="60"/>
        <w:jc w:val="center"/>
      </w:pPr>
      <w:r>
        <w:rPr>
          <w:sz w:val="22"/>
          <w:szCs w:val="22"/>
        </w:rPr>
        <w:t>ON</w:t>
      </w:r>
    </w:p>
    <w:p w14:paraId="2122CAD7" w14:textId="77777777" w:rsidR="00DB1210" w:rsidRDefault="00FB1BF2">
      <w:pPr>
        <w:spacing w:after="280"/>
        <w:jc w:val="center"/>
      </w:pPr>
      <w:r>
        <w:rPr>
          <w:b/>
          <w:bCs/>
          <w:color w:val="0F1E50"/>
          <w:sz w:val="28"/>
          <w:szCs w:val="28"/>
        </w:rPr>
        <w:t>WOMEN’S LEADERSHIP INTO THE FUTURE</w:t>
      </w:r>
    </w:p>
    <w:p w14:paraId="4ECC585F" w14:textId="77777777" w:rsidR="00DB1210" w:rsidRDefault="00FB1BF2">
      <w:pPr>
        <w:spacing w:after="60"/>
        <w:jc w:val="center"/>
      </w:pPr>
      <w:r>
        <w:rPr>
          <w:sz w:val="22"/>
          <w:szCs w:val="22"/>
        </w:rPr>
        <w:t>Adopted as the outcome document of the</w:t>
      </w:r>
    </w:p>
    <w:p w14:paraId="106717AF" w14:textId="77777777" w:rsidR="00DB1210" w:rsidRDefault="00FB1BF2">
      <w:pPr>
        <w:spacing w:after="40"/>
        <w:jc w:val="center"/>
      </w:pPr>
      <w:r>
        <w:rPr>
          <w:b/>
          <w:bCs/>
          <w:color w:val="0F1E50"/>
          <w:sz w:val="26"/>
          <w:szCs w:val="26"/>
        </w:rPr>
        <w:t>2ND EAC WOMEN’S INTERGENERATIONAL DIALOGUE</w:t>
      </w:r>
    </w:p>
    <w:p w14:paraId="5E04443A" w14:textId="77777777" w:rsidR="00DB1210" w:rsidRDefault="00FB1BF2">
      <w:pPr>
        <w:spacing w:after="240"/>
        <w:jc w:val="center"/>
      </w:pPr>
      <w:r>
        <w:rPr>
          <w:i/>
          <w:iCs/>
          <w:sz w:val="20"/>
          <w:szCs w:val="20"/>
        </w:rPr>
        <w:t>“Women Leading into the Future: Harnessing Technology, Innovation and Emerging Opportunities for Transformative Leadership in East Africa”</w:t>
      </w:r>
    </w:p>
    <w:p w14:paraId="64BA52FD" w14:textId="41D57A22" w:rsidR="00DB1210" w:rsidRDefault="00176C67">
      <w:pPr>
        <w:spacing w:after="40"/>
        <w:jc w:val="center"/>
      </w:pPr>
      <w:r>
        <w:rPr>
          <w:sz w:val="20"/>
          <w:szCs w:val="20"/>
        </w:rPr>
        <w:t>EAC Headquarters</w:t>
      </w:r>
      <w:r w:rsidR="00FB1BF2">
        <w:rPr>
          <w:sz w:val="20"/>
          <w:szCs w:val="20"/>
        </w:rPr>
        <w:t>, United Republic of Tanzania</w:t>
      </w:r>
    </w:p>
    <w:p w14:paraId="5B0E9FA8" w14:textId="77777777" w:rsidR="00DB1210" w:rsidRDefault="00FB1BF2">
      <w:pPr>
        <w:spacing w:after="600"/>
        <w:jc w:val="center"/>
      </w:pPr>
      <w:r>
        <w:rPr>
          <w:b/>
          <w:bCs/>
          <w:sz w:val="20"/>
          <w:szCs w:val="20"/>
        </w:rPr>
        <w:t>25 and 26 June 2026</w:t>
      </w:r>
    </w:p>
    <w:p w14:paraId="5B0FD183" w14:textId="77777777" w:rsidR="00DB1210" w:rsidRDefault="00FB1BF2">
      <w:pPr>
        <w:spacing w:after="40"/>
        <w:jc w:val="center"/>
      </w:pPr>
      <w:r>
        <w:rPr>
          <w:i/>
          <w:iCs/>
          <w:color w:val="5A5A5A"/>
          <w:sz w:val="18"/>
          <w:szCs w:val="18"/>
        </w:rPr>
        <w:t>Convened by the EALA Women’s Caucus</w:t>
      </w:r>
    </w:p>
    <w:p w14:paraId="08E5747F" w14:textId="77777777" w:rsidR="00DB1210" w:rsidRDefault="00FB1BF2">
      <w:pPr>
        <w:spacing w:after="480"/>
        <w:jc w:val="center"/>
      </w:pPr>
      <w:r>
        <w:rPr>
          <w:i/>
          <w:iCs/>
          <w:color w:val="5A5A5A"/>
          <w:sz w:val="18"/>
          <w:szCs w:val="18"/>
        </w:rPr>
        <w:t>In partnership with the EAC Secretariat, GIZ, TICD, NWRDC, World Speech Day Women and Women LEAD South Africa</w:t>
      </w:r>
    </w:p>
    <w:p w14:paraId="65B2E0CF" w14:textId="77777777" w:rsidR="00DB1210" w:rsidRDefault="00FB1BF2">
      <w:pPr>
        <w:spacing w:before="260" w:after="160" w:line="320" w:lineRule="auto"/>
      </w:pPr>
      <w:r>
        <w:rPr>
          <w:b/>
          <w:bCs/>
          <w:color w:val="0F1E50"/>
          <w:sz w:val="28"/>
          <w:szCs w:val="28"/>
        </w:rPr>
        <w:t>PREAMBLE</w:t>
      </w:r>
    </w:p>
    <w:p w14:paraId="1A6759A4" w14:textId="6C9B143A" w:rsidR="00DB1210" w:rsidRDefault="00FB1BF2">
      <w:pPr>
        <w:spacing w:after="180" w:line="320" w:lineRule="auto"/>
        <w:jc w:val="both"/>
      </w:pPr>
      <w:r>
        <w:t>We, the participants in the 2nd EAC Women’s Intergenerational Dialogue, convened by the EALA Women’s Caucus at</w:t>
      </w:r>
      <w:r w:rsidR="00176C67">
        <w:t xml:space="preserve"> the EAC Headquarters</w:t>
      </w:r>
      <w:r>
        <w:t>, Arusha, on 25 and 26 June 2026, comprising women parliamentarians and male champions of the East African Legislative Assembly, Ministers and senior officials of the East African Community, the Secretary General and the Deputy Secretary General, Heads of EAC Organs and Institutions, the EAC apex bodies, women and young women leaders from across the Partner States, civil society, the private sector, technology experts, legal experts, academia, mental health and wellness practitioners and our development par</w:t>
      </w:r>
      <w:r>
        <w:t>tners, having deliberated together for two days on the theme “Women Leading into the Future,” do hereby issue this Statement of Commitment.</w:t>
      </w:r>
    </w:p>
    <w:p w14:paraId="09E6A666" w14:textId="77777777" w:rsidR="00DB1210" w:rsidRDefault="00FB1BF2">
      <w:pPr>
        <w:spacing w:after="180" w:line="320" w:lineRule="auto"/>
        <w:jc w:val="both"/>
      </w:pPr>
      <w:r>
        <w:t xml:space="preserve">We meet at a moment in which technology, artificial intelligence, digital platforms and data governance are reshaping our societies, our economies and our institutions. We hold a shared conviction that women must not be passive users of this transformation, but active leaders, creators, innovators, regulators and decision-makers within it. We affirm that women’s </w:t>
      </w:r>
      <w:proofErr w:type="gramStart"/>
      <w:r>
        <w:lastRenderedPageBreak/>
        <w:t>leadership</w:t>
      </w:r>
      <w:proofErr w:type="gramEnd"/>
      <w:r>
        <w:t xml:space="preserve"> </w:t>
      </w:r>
      <w:proofErr w:type="gramStart"/>
      <w:r>
        <w:t>into</w:t>
      </w:r>
      <w:proofErr w:type="gramEnd"/>
      <w:r>
        <w:t xml:space="preserve"> the future must be anchored in inclusion, rights, safety, skills, economic empowerment and access to opportunity.</w:t>
      </w:r>
    </w:p>
    <w:p w14:paraId="708A44E8" w14:textId="77777777" w:rsidR="00DB1210" w:rsidRDefault="00FB1BF2">
      <w:pPr>
        <w:spacing w:after="180" w:line="320" w:lineRule="auto"/>
        <w:jc w:val="both"/>
      </w:pPr>
      <w:r>
        <w:t>We anchor this Statement in the Treaty for the Establishment of the East African Community, in particular Articles 5(3)(e), 6(d), 121 and 122; in the EAC Vision 2050; in the EAC Gender Policy of 2018; in the EAC E-Commerce Strategy, the Trade in Services Strategy 2023 to 2033, the Common Market Protocol and the Simplified Trade Regime; in the developing EAC Artificial Intelligence Strategy and the EAC Digital Transformation Strategy; in the Creating Opportunities for Youth and Women (COYWA) initiative under</w:t>
      </w:r>
      <w:r>
        <w:t xml:space="preserve"> AUDA-NEPAD; and in the African Union Agenda 2063, the Maputo Protocol, AU Resolution 522 on Technology-Facilitated Gender-Based Violence, Beijing+30, United Nations Security Council Resolution 1325 and the Sustainable Development Goals.</w:t>
      </w:r>
    </w:p>
    <w:p w14:paraId="03827EC8" w14:textId="77777777" w:rsidR="00DB1210" w:rsidRDefault="00FB1BF2">
      <w:pPr>
        <w:spacing w:after="180" w:line="320" w:lineRule="auto"/>
        <w:jc w:val="both"/>
      </w:pPr>
      <w:r>
        <w:t xml:space="preserve">We take note of the outcomes of the 1st EAC Women’s Intergenerational Dialogue held in Arusha on 2 and 3 July 2024, and we acknowledge with </w:t>
      </w:r>
      <w:proofErr w:type="spellStart"/>
      <w:r>
        <w:t>candour</w:t>
      </w:r>
      <w:proofErr w:type="spellEnd"/>
      <w:r>
        <w:t xml:space="preserve"> that a significant share of those commitments </w:t>
      </w:r>
      <w:proofErr w:type="gramStart"/>
      <w:r>
        <w:t>remain</w:t>
      </w:r>
      <w:proofErr w:type="gramEnd"/>
      <w:r>
        <w:t xml:space="preserve"> to be implemented. We accept that this gap is a call to renewed accountability, and that no further Dialogue of this nature can be credible without addressing it.</w:t>
      </w:r>
    </w:p>
    <w:p w14:paraId="404673EE" w14:textId="77777777" w:rsidR="00DB1210" w:rsidRDefault="00FB1BF2">
      <w:pPr>
        <w:spacing w:after="180" w:line="320" w:lineRule="auto"/>
        <w:jc w:val="both"/>
      </w:pPr>
      <w:r>
        <w:t>We are clear-eyed about the realities the digital era has placed before the women and girls of East Africa. Online harassment, trolling, impersonation, blackmail, coordinated attacks, deepfakes and AI-generated misinformation are increasingly used to silence women, particularly women leaders, young women, women content creators and women in public life. The gender digital divide persists across access, devices, connectivity, skills, STEM education, finance and leadership opportunities in technology sectors.</w:t>
      </w:r>
      <w:r>
        <w:t xml:space="preserve"> And foundational gaps in electricity, connectivity and digital public infrastructure continue to limit the participation of women in rural and </w:t>
      </w:r>
      <w:proofErr w:type="spellStart"/>
      <w:r>
        <w:t>marginalised</w:t>
      </w:r>
      <w:proofErr w:type="spellEnd"/>
      <w:r>
        <w:t xml:space="preserve"> communities. We affirm that the digital frontier is a moving target, and that protecting and empowering women in this space requires deliberate, sustained and resourced regional action.</w:t>
      </w:r>
    </w:p>
    <w:p w14:paraId="69DA50EB" w14:textId="77777777" w:rsidR="00DB1210" w:rsidRDefault="00FB1BF2">
      <w:pPr>
        <w:spacing w:after="180" w:line="320" w:lineRule="auto"/>
        <w:jc w:val="both"/>
      </w:pPr>
      <w:r>
        <w:t>In the spirit of intergenerational solidarity, we commit ourselves, individually and institutionally, to the following.</w:t>
      </w:r>
    </w:p>
    <w:p w14:paraId="4BBCBA5C" w14:textId="77777777" w:rsidR="00176C67" w:rsidRDefault="00176C67">
      <w:pPr>
        <w:spacing w:after="180" w:line="320" w:lineRule="auto"/>
        <w:jc w:val="both"/>
      </w:pPr>
    </w:p>
    <w:p w14:paraId="7A8D1BF9" w14:textId="77777777" w:rsidR="00176C67" w:rsidRDefault="00176C67">
      <w:pPr>
        <w:spacing w:after="180" w:line="320" w:lineRule="auto"/>
        <w:jc w:val="both"/>
      </w:pPr>
    </w:p>
    <w:p w14:paraId="775F30F1" w14:textId="77777777" w:rsidR="00DB1210" w:rsidRDefault="00FB1BF2">
      <w:pPr>
        <w:spacing w:before="260" w:after="140" w:line="320" w:lineRule="auto"/>
      </w:pPr>
      <w:r>
        <w:rPr>
          <w:b/>
          <w:bCs/>
          <w:color w:val="0F1E50"/>
          <w:sz w:val="26"/>
          <w:szCs w:val="26"/>
        </w:rPr>
        <w:lastRenderedPageBreak/>
        <w:t>PART I.   AFFIRMATION OF TREATY COMMITMENTS AND INSTITUTIONAL OWNERSHIP</w:t>
      </w:r>
    </w:p>
    <w:p w14:paraId="19E58B22" w14:textId="77777777" w:rsidR="00DB1210" w:rsidRDefault="00FB1BF2">
      <w:pPr>
        <w:spacing w:after="140" w:line="320" w:lineRule="auto"/>
        <w:jc w:val="both"/>
      </w:pPr>
      <w:r>
        <w:rPr>
          <w:b/>
          <w:bCs/>
          <w:color w:val="0F1E50"/>
        </w:rPr>
        <w:t xml:space="preserve">1.1. </w:t>
      </w:r>
      <w:r>
        <w:t>We affirm that gender equality, the empowerment of women, and women’s leadership in the digital era are not peripheral to the East African Community, but sit at the heart of the Treaty, the Vision 2050, the Common Market Protocol and the institutional mandate of every Organ and Institution of the Community.</w:t>
      </w:r>
    </w:p>
    <w:p w14:paraId="16175B50" w14:textId="77777777" w:rsidR="00DB1210" w:rsidRDefault="00FB1BF2">
      <w:pPr>
        <w:spacing w:after="140" w:line="320" w:lineRule="auto"/>
        <w:jc w:val="both"/>
      </w:pPr>
      <w:r>
        <w:rPr>
          <w:b/>
          <w:bCs/>
          <w:color w:val="0F1E50"/>
        </w:rPr>
        <w:t xml:space="preserve">1.2. </w:t>
      </w:r>
      <w:r>
        <w:t>We commit to ensuring that the outcomes of this Dialogue are transmitted, through the Sectoral Council on Gender, Youth, Children, Persons with Disabilities and Community Development, to the Council of Ministers, and where the substance warrants it, to the Summit of Heads of State, and that they are integrated into the budgets, work programmes and reporting cycles of the Community.</w:t>
      </w:r>
    </w:p>
    <w:p w14:paraId="1916DC3D" w14:textId="77777777" w:rsidR="00DB1210" w:rsidRDefault="00FB1BF2">
      <w:pPr>
        <w:spacing w:after="140" w:line="320" w:lineRule="auto"/>
        <w:jc w:val="both"/>
      </w:pPr>
      <w:r>
        <w:rPr>
          <w:b/>
          <w:bCs/>
          <w:color w:val="0F1E50"/>
        </w:rPr>
        <w:t xml:space="preserve">1.3. </w:t>
      </w:r>
      <w:r>
        <w:t>We commit to ensuring that gender responsiveness is embedded from the outset in the developing EAC Artificial Intelligence Strategy and the EAC Digital Transformation Strategy, so that existing biases are not hardcoded into the laws, policies, systems and technologies of our shared digital future.</w:t>
      </w:r>
    </w:p>
    <w:p w14:paraId="5B1D2238" w14:textId="77777777" w:rsidR="00176C67" w:rsidRDefault="00176C67">
      <w:pPr>
        <w:spacing w:after="140" w:line="320" w:lineRule="auto"/>
        <w:jc w:val="both"/>
      </w:pPr>
    </w:p>
    <w:p w14:paraId="1D0BD146" w14:textId="77777777" w:rsidR="00DB1210" w:rsidRDefault="00FB1BF2">
      <w:pPr>
        <w:spacing w:before="260" w:after="140" w:line="320" w:lineRule="auto"/>
      </w:pPr>
      <w:r>
        <w:rPr>
          <w:b/>
          <w:bCs/>
          <w:color w:val="0F1E50"/>
          <w:sz w:val="26"/>
          <w:szCs w:val="26"/>
        </w:rPr>
        <w:t>PART II.   SECURING THE DIGITAL FRONTIER: AN EAC PROTOCOL ON DIGITAL GOVERNANCE AND DIGITAL SAFETY</w:t>
      </w:r>
    </w:p>
    <w:p w14:paraId="69683E59" w14:textId="77777777" w:rsidR="00DB1210" w:rsidRDefault="00FB1BF2">
      <w:pPr>
        <w:spacing w:after="140" w:line="320" w:lineRule="auto"/>
        <w:jc w:val="both"/>
      </w:pPr>
      <w:r>
        <w:rPr>
          <w:b/>
          <w:bCs/>
          <w:color w:val="0F1E50"/>
        </w:rPr>
        <w:t xml:space="preserve">2.1. </w:t>
      </w:r>
      <w:r>
        <w:t>We call upon the EAC Secretariat and the East African Legislative Assembly, in consultation with Partner States and stakeholders, to consider the development of a regional Protocol on Digital Governance, Digital Safety and Technology-Facilitated Harm, establishing shared values, principles, standards and obligations for the Community.</w:t>
      </w:r>
    </w:p>
    <w:p w14:paraId="5F2CC6F4" w14:textId="77777777" w:rsidR="00DB1210" w:rsidRDefault="00FB1BF2">
      <w:pPr>
        <w:spacing w:after="140" w:line="320" w:lineRule="auto"/>
        <w:jc w:val="both"/>
      </w:pPr>
      <w:r>
        <w:rPr>
          <w:b/>
          <w:bCs/>
          <w:color w:val="0F1E50"/>
        </w:rPr>
        <w:t xml:space="preserve">2.2. </w:t>
      </w:r>
      <w:r>
        <w:t xml:space="preserve">We commit that such a Protocol shall, at minimum, </w:t>
      </w:r>
      <w:proofErr w:type="gramStart"/>
      <w:r>
        <w:t>include:</w:t>
      </w:r>
      <w:proofErr w:type="gramEnd"/>
      <w:r>
        <w:t xml:space="preserve"> clear obligations for Partner States; domestication requirements; budgetary obligations; institutional responsibilities; monitoring and reporting mechanisms; timelines for implementation; and explicit dissemination obligations to ensure that the Protocol is known and applied at the grassroots level.</w:t>
      </w:r>
    </w:p>
    <w:p w14:paraId="53D96AB0" w14:textId="77777777" w:rsidR="00DB1210" w:rsidRDefault="00FB1BF2">
      <w:pPr>
        <w:spacing w:after="140" w:line="320" w:lineRule="auto"/>
        <w:jc w:val="both"/>
      </w:pPr>
      <w:r>
        <w:rPr>
          <w:b/>
          <w:bCs/>
          <w:color w:val="0F1E50"/>
        </w:rPr>
        <w:t xml:space="preserve">2.3. </w:t>
      </w:r>
      <w:r>
        <w:t>We call for a coordinated regional audit of existing laws, policies, court decisions and institutional frameworks across Partner States on cybercrime, data protection, online abuse and digital harm, to identify gaps, inconsistencies and opportunities for harmonisation.</w:t>
      </w:r>
    </w:p>
    <w:p w14:paraId="56DEB8EE" w14:textId="77777777" w:rsidR="00DB1210" w:rsidRDefault="00FB1BF2">
      <w:pPr>
        <w:spacing w:after="140" w:line="320" w:lineRule="auto"/>
        <w:jc w:val="both"/>
      </w:pPr>
      <w:r>
        <w:rPr>
          <w:b/>
          <w:bCs/>
          <w:color w:val="0F1E50"/>
        </w:rPr>
        <w:lastRenderedPageBreak/>
        <w:t xml:space="preserve">2.4. </w:t>
      </w:r>
      <w:r>
        <w:t>We affirm that law on the digital frontier should not be punitive only. Regional and national frameworks must balance protection with innovation, and must facilitate trade, education, entrepreneurship, service delivery and regional integration alongside safety and accountability.</w:t>
      </w:r>
    </w:p>
    <w:p w14:paraId="396957E1" w14:textId="77777777" w:rsidR="00DB1210" w:rsidRDefault="00FB1BF2">
      <w:pPr>
        <w:spacing w:before="260" w:after="140" w:line="320" w:lineRule="auto"/>
      </w:pPr>
      <w:r>
        <w:rPr>
          <w:b/>
          <w:bCs/>
          <w:color w:val="0F1E50"/>
          <w:sz w:val="26"/>
          <w:szCs w:val="26"/>
        </w:rPr>
        <w:t>PART III.   PROTECTION FROM TECHNOLOGY-FACILITATED GENDER-BASED VIOLENCE</w:t>
      </w:r>
    </w:p>
    <w:p w14:paraId="195D2F47" w14:textId="77777777" w:rsidR="00DB1210" w:rsidRDefault="00FB1BF2">
      <w:pPr>
        <w:spacing w:after="140" w:line="320" w:lineRule="auto"/>
        <w:jc w:val="both"/>
      </w:pPr>
      <w:r>
        <w:rPr>
          <w:b/>
          <w:bCs/>
          <w:color w:val="0F1E50"/>
        </w:rPr>
        <w:t xml:space="preserve">3.1. </w:t>
      </w:r>
      <w:r>
        <w:t xml:space="preserve">We call upon the East African Legislative Assembly, working with Partner State parliaments, the East Africa Law Society, civil society and the private sector technology community, to initiate within twelve months the development of </w:t>
      </w:r>
      <w:proofErr w:type="spellStart"/>
      <w:r>
        <w:t>harmonised</w:t>
      </w:r>
      <w:proofErr w:type="spellEnd"/>
      <w:r>
        <w:t xml:space="preserve"> regional standards on Technology-Facilitated Gender-Based Violence, including common definitions, reporting mechanisms, evidence preservation procedures and platform accountability.</w:t>
      </w:r>
    </w:p>
    <w:p w14:paraId="26EB76C9" w14:textId="77777777" w:rsidR="00DB1210" w:rsidRDefault="00FB1BF2">
      <w:pPr>
        <w:spacing w:after="140" w:line="320" w:lineRule="auto"/>
        <w:jc w:val="both"/>
      </w:pPr>
      <w:r>
        <w:rPr>
          <w:b/>
          <w:bCs/>
          <w:color w:val="0F1E50"/>
        </w:rPr>
        <w:t xml:space="preserve">3.2. </w:t>
      </w:r>
      <w:r>
        <w:t>We commit to the establishment of a Regional Digital Safety Observatory within the EAC framework, to document cases, collect regional data, monitor trends, identify early-warning patterns of coordinated online attack, and inform evidence-based policy and legislation.</w:t>
      </w:r>
    </w:p>
    <w:p w14:paraId="3238B524" w14:textId="77777777" w:rsidR="00DB1210" w:rsidRDefault="00FB1BF2">
      <w:pPr>
        <w:spacing w:after="140" w:line="320" w:lineRule="auto"/>
        <w:jc w:val="both"/>
      </w:pPr>
      <w:r>
        <w:rPr>
          <w:b/>
          <w:bCs/>
          <w:color w:val="0F1E50"/>
        </w:rPr>
        <w:t xml:space="preserve">3.3. </w:t>
      </w:r>
      <w:r>
        <w:t>We commit to a survivor-centred response, ensuring that women and girls who experience digital harm have access to counselling, psychosocial support, legal aid, safe reporting channels and clear guidance on evidence preservation, and that healing, mediation and rehabilitation are recognised as part of the institutional response, not afterthoughts to it.</w:t>
      </w:r>
    </w:p>
    <w:p w14:paraId="448A01CA" w14:textId="77777777" w:rsidR="00DB1210" w:rsidRDefault="00FB1BF2">
      <w:pPr>
        <w:spacing w:after="140" w:line="320" w:lineRule="auto"/>
        <w:jc w:val="both"/>
      </w:pPr>
      <w:r>
        <w:rPr>
          <w:b/>
          <w:bCs/>
          <w:color w:val="0F1E50"/>
        </w:rPr>
        <w:t xml:space="preserve">3.4. </w:t>
      </w:r>
      <w:r>
        <w:t xml:space="preserve">We commit to addressing the cross-border dimensions of digital harm, particularly the protection of women entrepreneurs, content creators and public figures whose work and digital presence span Partner State borders, through </w:t>
      </w:r>
      <w:proofErr w:type="spellStart"/>
      <w:r>
        <w:t>harmonised</w:t>
      </w:r>
      <w:proofErr w:type="spellEnd"/>
      <w:r>
        <w:t xml:space="preserve"> legal protection, mutual legal assistance and accessible regional reporting mechanisms.</w:t>
      </w:r>
    </w:p>
    <w:p w14:paraId="0FC077A9" w14:textId="462356F5" w:rsidR="00176C67" w:rsidRDefault="00FB1BF2">
      <w:pPr>
        <w:spacing w:after="140" w:line="320" w:lineRule="auto"/>
        <w:jc w:val="both"/>
      </w:pPr>
      <w:r>
        <w:rPr>
          <w:b/>
          <w:bCs/>
          <w:color w:val="0F1E50"/>
        </w:rPr>
        <w:t xml:space="preserve">3.5. </w:t>
      </w:r>
      <w:r>
        <w:t xml:space="preserve">We call upon technology platforms and mobile network operators in the region to publish transparent policies and </w:t>
      </w:r>
      <w:proofErr w:type="gramStart"/>
      <w:r>
        <w:t>reporting</w:t>
      </w:r>
      <w:proofErr w:type="gramEnd"/>
      <w:r>
        <w:t xml:space="preserve"> mechanisms on online harassment, impersonation, scams, fraud, AI-generated abuse and gendered disinformation, and </w:t>
      </w:r>
      <w:proofErr w:type="gramStart"/>
      <w:r>
        <w:t>to establish</w:t>
      </w:r>
      <w:proofErr w:type="gramEnd"/>
      <w:r>
        <w:t xml:space="preserve"> accessible local survivor support arrangements.</w:t>
      </w:r>
    </w:p>
    <w:p w14:paraId="545452A7" w14:textId="77777777" w:rsidR="00DB1210" w:rsidRDefault="00FB1BF2">
      <w:pPr>
        <w:spacing w:before="260" w:after="140" w:line="320" w:lineRule="auto"/>
      </w:pPr>
      <w:r>
        <w:rPr>
          <w:b/>
          <w:bCs/>
          <w:color w:val="0F1E50"/>
          <w:sz w:val="26"/>
          <w:szCs w:val="26"/>
        </w:rPr>
        <w:t>PART IV.   WOMEN IN STEM, ARTIFICIAL INTELLIGENCE, INNOVATION AND ENTREPRENEURSHIP</w:t>
      </w:r>
    </w:p>
    <w:p w14:paraId="41F3A869" w14:textId="77777777" w:rsidR="00DB1210" w:rsidRDefault="00FB1BF2">
      <w:pPr>
        <w:spacing w:after="140" w:line="320" w:lineRule="auto"/>
        <w:jc w:val="both"/>
      </w:pPr>
      <w:r>
        <w:rPr>
          <w:b/>
          <w:bCs/>
          <w:color w:val="0F1E50"/>
        </w:rPr>
        <w:t xml:space="preserve">4.1. </w:t>
      </w:r>
      <w:r>
        <w:t xml:space="preserve">We commit to building mentorship and leadership pipelines from girls in STEM to women in artificial intelligence, law, policy, regulation, entrepreneurship and technology leadership, with </w:t>
      </w:r>
      <w:r>
        <w:lastRenderedPageBreak/>
        <w:t>deliberate strategies for talent identification, talent management and retention of women already in STEM and AI professions.</w:t>
      </w:r>
    </w:p>
    <w:p w14:paraId="3B909285" w14:textId="77777777" w:rsidR="00DB1210" w:rsidRDefault="00FB1BF2">
      <w:pPr>
        <w:spacing w:after="140" w:line="320" w:lineRule="auto"/>
        <w:jc w:val="both"/>
      </w:pPr>
      <w:r>
        <w:rPr>
          <w:b/>
          <w:bCs/>
          <w:color w:val="0F1E50"/>
        </w:rPr>
        <w:t xml:space="preserve">4.2. </w:t>
      </w:r>
      <w:r>
        <w:t>We call upon Partner States, the Inter-University Council for East Africa and the East African Science and Technology Commission to support the establishment of regional STEM and AI innovation centres for women and girls, and to ensure that AI solutions developed in the region are relevant, affordable and useful to rural and underserved communities.</w:t>
      </w:r>
    </w:p>
    <w:p w14:paraId="3451D202" w14:textId="77777777" w:rsidR="00DB1210" w:rsidRDefault="00FB1BF2">
      <w:pPr>
        <w:spacing w:after="140" w:line="320" w:lineRule="auto"/>
        <w:jc w:val="both"/>
      </w:pPr>
      <w:r>
        <w:rPr>
          <w:b/>
          <w:bCs/>
          <w:color w:val="0F1E50"/>
        </w:rPr>
        <w:t xml:space="preserve">4.3. </w:t>
      </w:r>
      <w:r>
        <w:t xml:space="preserve">We commit to supporting women as both creators and users of digital and AI tools, </w:t>
      </w:r>
      <w:proofErr w:type="spellStart"/>
      <w:r>
        <w:t>recognising</w:t>
      </w:r>
      <w:proofErr w:type="spellEnd"/>
      <w:r>
        <w:t xml:space="preserve"> that women entrepreneurs, professionals and community workers require access to finance, markets, technology, information, mentorship, infrastructure and training to translate ideas into enterprises that deliver value.</w:t>
      </w:r>
    </w:p>
    <w:p w14:paraId="41F25A76" w14:textId="77777777" w:rsidR="00DB1210" w:rsidRDefault="00FB1BF2">
      <w:pPr>
        <w:spacing w:after="140" w:line="320" w:lineRule="auto"/>
        <w:jc w:val="both"/>
      </w:pPr>
      <w:r>
        <w:rPr>
          <w:b/>
          <w:bCs/>
          <w:color w:val="0F1E50"/>
        </w:rPr>
        <w:t xml:space="preserve">4.4. </w:t>
      </w:r>
      <w:r>
        <w:t>We affirm that women do not lack ideas; what they often lack is access, mentorship, capital, markets and enabling systems, and we commit to designing regional and national support measures around that reality.</w:t>
      </w:r>
    </w:p>
    <w:p w14:paraId="09854281" w14:textId="77777777" w:rsidR="00DB1210" w:rsidRDefault="00FB1BF2">
      <w:pPr>
        <w:spacing w:before="260" w:after="140" w:line="320" w:lineRule="auto"/>
      </w:pPr>
      <w:r>
        <w:rPr>
          <w:b/>
          <w:bCs/>
          <w:color w:val="0F1E50"/>
          <w:sz w:val="26"/>
          <w:szCs w:val="26"/>
        </w:rPr>
        <w:t>PART V.   CIVIC PARTICIPATION AND WOMEN’S POLITICAL LEADERSHIP IN THE DIGITAL ERA</w:t>
      </w:r>
    </w:p>
    <w:p w14:paraId="5854F5FA" w14:textId="77777777" w:rsidR="00DB1210" w:rsidRDefault="00FB1BF2">
      <w:pPr>
        <w:spacing w:after="140" w:line="320" w:lineRule="auto"/>
        <w:jc w:val="both"/>
      </w:pPr>
      <w:r>
        <w:rPr>
          <w:b/>
          <w:bCs/>
          <w:color w:val="0F1E50"/>
        </w:rPr>
        <w:t xml:space="preserve">5.1. </w:t>
      </w:r>
      <w:r>
        <w:t>We reaffirm the Treaty requirement that not less than one third of the elected Members of the East African Legislative Assembly from each Partner State shall be women, and we commit to working with Partner State parliaments to deliver demonstrable progress toward this requirement, and beyond it, toward genuine parity.</w:t>
      </w:r>
    </w:p>
    <w:p w14:paraId="4E6D4A9E" w14:textId="77777777" w:rsidR="00DB1210" w:rsidRDefault="00FB1BF2">
      <w:pPr>
        <w:spacing w:after="140" w:line="320" w:lineRule="auto"/>
        <w:jc w:val="both"/>
      </w:pPr>
      <w:r>
        <w:rPr>
          <w:b/>
          <w:bCs/>
          <w:color w:val="0F1E50"/>
        </w:rPr>
        <w:t xml:space="preserve">5.2. </w:t>
      </w:r>
      <w:r>
        <w:t>We commit, through Partner State governments, electoral commissions and political parties, to the adoption of gender-responsive frameworks for digital campaigning, electoral integrity in the age of artificial intelligence, and the protection of women candidates and women in public life from online attack, including deepfakes and coordinated disinformation.</w:t>
      </w:r>
    </w:p>
    <w:p w14:paraId="51D45E39" w14:textId="77777777" w:rsidR="00DB1210" w:rsidRDefault="00FB1BF2">
      <w:pPr>
        <w:spacing w:after="140" w:line="320" w:lineRule="auto"/>
        <w:jc w:val="both"/>
      </w:pPr>
      <w:r>
        <w:rPr>
          <w:b/>
          <w:bCs/>
          <w:color w:val="0F1E50"/>
        </w:rPr>
        <w:t xml:space="preserve">5.3. </w:t>
      </w:r>
      <w:r>
        <w:t xml:space="preserve">We affirm the principle of equity over formal equality, </w:t>
      </w:r>
      <w:proofErr w:type="spellStart"/>
      <w:r>
        <w:t>recognising</w:t>
      </w:r>
      <w:proofErr w:type="spellEnd"/>
      <w:r>
        <w:t xml:space="preserve"> that women begin from different starting points, and that women’s leadership therefore requires intentional, programmatic measures with clear targets, mechanisms, resources and accountability. We further commit to </w:t>
      </w:r>
      <w:proofErr w:type="spellStart"/>
      <w:r>
        <w:t>recognising</w:t>
      </w:r>
      <w:proofErr w:type="spellEnd"/>
      <w:r>
        <w:t xml:space="preserve"> and translating the leadership skills that women already exercise in household, community and caregiving roles into formal leadership and economic opportunities.</w:t>
      </w:r>
    </w:p>
    <w:p w14:paraId="5B2F8DD7" w14:textId="77777777" w:rsidR="00DB1210" w:rsidRDefault="00FB1BF2">
      <w:pPr>
        <w:spacing w:after="140" w:line="320" w:lineRule="auto"/>
        <w:jc w:val="both"/>
      </w:pPr>
      <w:r>
        <w:rPr>
          <w:b/>
          <w:bCs/>
          <w:color w:val="0F1E50"/>
        </w:rPr>
        <w:lastRenderedPageBreak/>
        <w:t xml:space="preserve">5.4. </w:t>
      </w:r>
      <w:r>
        <w:t>We endorse the EALA Youth Caucus, established by resolution of the East African Legislative Assembly in March 2024, as a permanent intergenerational interface within the legislative architecture of the Community.</w:t>
      </w:r>
    </w:p>
    <w:p w14:paraId="4A6168D7" w14:textId="77777777" w:rsidR="00DB1210" w:rsidRDefault="00FB1BF2">
      <w:pPr>
        <w:spacing w:before="260" w:after="140" w:line="320" w:lineRule="auto"/>
      </w:pPr>
      <w:r>
        <w:rPr>
          <w:b/>
          <w:bCs/>
          <w:color w:val="0F1E50"/>
          <w:sz w:val="26"/>
          <w:szCs w:val="26"/>
        </w:rPr>
        <w:t>PART VI.   MENTORSHIP, MENTAL HEALTH AND DIGITAL WELL-BEING</w:t>
      </w:r>
    </w:p>
    <w:p w14:paraId="15FFE3FD" w14:textId="77777777" w:rsidR="00DB1210" w:rsidRDefault="00FB1BF2">
      <w:pPr>
        <w:spacing w:after="140" w:line="320" w:lineRule="auto"/>
        <w:jc w:val="both"/>
      </w:pPr>
      <w:r>
        <w:rPr>
          <w:b/>
          <w:bCs/>
          <w:color w:val="0F1E50"/>
        </w:rPr>
        <w:t xml:space="preserve">6.1. </w:t>
      </w:r>
      <w:r>
        <w:t xml:space="preserve">We endorse the EAC Women’s Intergenerational Dialogue Mentorship Framework, jointly developed by the EALA Women’s Caucus, the </w:t>
      </w:r>
      <w:proofErr w:type="spellStart"/>
      <w:r>
        <w:t>Tengeru</w:t>
      </w:r>
      <w:proofErr w:type="spellEnd"/>
      <w:r>
        <w:t xml:space="preserve"> Institute for Community Development and the EAC Secretariat, and the Mentorship E-Book launched at this Dialogue, as the operational instruments of intergenerational mentorship across the region.</w:t>
      </w:r>
    </w:p>
    <w:p w14:paraId="14DA1942" w14:textId="77777777" w:rsidR="00DB1210" w:rsidRDefault="00FB1BF2">
      <w:pPr>
        <w:spacing w:after="140" w:line="320" w:lineRule="auto"/>
        <w:jc w:val="both"/>
      </w:pPr>
      <w:r>
        <w:rPr>
          <w:b/>
          <w:bCs/>
          <w:color w:val="0F1E50"/>
        </w:rPr>
        <w:t xml:space="preserve">6.2. </w:t>
      </w:r>
      <w:r>
        <w:t>We commit to ensuring that young women are represented as observers at meetings of the Sectoral Council on Gender, Youth, Children, Persons with Disabilities and Community Development, and that young women’s representation features in EAC consultation and policy formulation processes as a matter of institutional practice.</w:t>
      </w:r>
    </w:p>
    <w:p w14:paraId="0E07C33C" w14:textId="77777777" w:rsidR="00DB1210" w:rsidRDefault="00FB1BF2">
      <w:pPr>
        <w:spacing w:after="140" w:line="320" w:lineRule="auto"/>
        <w:jc w:val="both"/>
      </w:pPr>
      <w:r>
        <w:rPr>
          <w:b/>
          <w:bCs/>
          <w:color w:val="0F1E50"/>
        </w:rPr>
        <w:t xml:space="preserve">6.3. </w:t>
      </w:r>
      <w:r>
        <w:t>We affirm that digital literacy must include not only technical skills but also emotional well-being, stress management, resilience, self-awareness and healthy digital habits. We commit to partnerships with wellness and mental health organisations to support women, young people and communities affected by digital harm and digital fatigue.</w:t>
      </w:r>
    </w:p>
    <w:p w14:paraId="5AD9887F" w14:textId="77777777" w:rsidR="00DB1210" w:rsidRDefault="00FB1BF2">
      <w:pPr>
        <w:spacing w:after="140" w:line="320" w:lineRule="auto"/>
        <w:jc w:val="both"/>
      </w:pPr>
      <w:r>
        <w:rPr>
          <w:b/>
          <w:bCs/>
          <w:color w:val="0F1E50"/>
        </w:rPr>
        <w:t xml:space="preserve">6.4. </w:t>
      </w:r>
      <w:r>
        <w:t xml:space="preserve">We commit to </w:t>
      </w:r>
      <w:proofErr w:type="spellStart"/>
      <w:r>
        <w:t>recognising</w:t>
      </w:r>
      <w:proofErr w:type="spellEnd"/>
      <w:r>
        <w:t xml:space="preserve"> and elevating the practice of women documenting their leadership journeys through writing, coaching, mentoring and storytelling, as powerful instruments of intergenerational learning and culture change.</w:t>
      </w:r>
    </w:p>
    <w:p w14:paraId="665656B6" w14:textId="77777777" w:rsidR="00DB1210" w:rsidRDefault="00FB1BF2">
      <w:pPr>
        <w:spacing w:before="260" w:after="140" w:line="320" w:lineRule="auto"/>
      </w:pPr>
      <w:r>
        <w:rPr>
          <w:b/>
          <w:bCs/>
          <w:color w:val="0F1E50"/>
          <w:sz w:val="26"/>
          <w:szCs w:val="26"/>
        </w:rPr>
        <w:t>PART VII.   DATA GOVERNANCE, DATA SOVEREIGNTY AND DIGITAL INFRASTRUCTURE</w:t>
      </w:r>
    </w:p>
    <w:p w14:paraId="19497782" w14:textId="77777777" w:rsidR="00DB1210" w:rsidRDefault="00FB1BF2">
      <w:pPr>
        <w:spacing w:after="140" w:line="320" w:lineRule="auto"/>
        <w:jc w:val="both"/>
      </w:pPr>
      <w:r>
        <w:rPr>
          <w:b/>
          <w:bCs/>
          <w:color w:val="0F1E50"/>
        </w:rPr>
        <w:t xml:space="preserve">7.1. </w:t>
      </w:r>
      <w:r>
        <w:t xml:space="preserve">We commit to strengthening data governance, data protection and data sovereignty in the East African Community, </w:t>
      </w:r>
      <w:proofErr w:type="spellStart"/>
      <w:r>
        <w:t>recognising</w:t>
      </w:r>
      <w:proofErr w:type="spellEnd"/>
      <w:r>
        <w:t xml:space="preserve"> that data has become a geopolitical instrument and that those who control data increasingly control economic, political and security power.</w:t>
      </w:r>
    </w:p>
    <w:p w14:paraId="327A8594" w14:textId="77777777" w:rsidR="00DB1210" w:rsidRDefault="00FB1BF2">
      <w:pPr>
        <w:spacing w:after="140" w:line="320" w:lineRule="auto"/>
        <w:jc w:val="both"/>
      </w:pPr>
      <w:r>
        <w:rPr>
          <w:b/>
          <w:bCs/>
          <w:color w:val="0F1E50"/>
        </w:rPr>
        <w:t xml:space="preserve">7.2. </w:t>
      </w:r>
      <w:r>
        <w:t>We affirm that data sovereignty must be pursued in sequence with foundational investment, and we commit to working with Partner States to expand reliable electricity generation, transmission and distribution; affordable internet connectivity; last-mile access; and the digital public infrastructure on which a credible regional data ecosystem must rest.</w:t>
      </w:r>
    </w:p>
    <w:p w14:paraId="21633FF5" w14:textId="77777777" w:rsidR="00DB1210" w:rsidRDefault="00FB1BF2">
      <w:pPr>
        <w:spacing w:after="140" w:line="320" w:lineRule="auto"/>
        <w:jc w:val="both"/>
      </w:pPr>
      <w:r>
        <w:rPr>
          <w:b/>
          <w:bCs/>
          <w:color w:val="0F1E50"/>
        </w:rPr>
        <w:lastRenderedPageBreak/>
        <w:t xml:space="preserve">7.3. </w:t>
      </w:r>
      <w:r>
        <w:t xml:space="preserve">We commit to ensuring that digital service delivery, particularly in health, education, social protection and the services women and communities rely on most, is prioritised in national and regional budgets, and that affirmative measures are taken to extend digital systems to the most </w:t>
      </w:r>
      <w:proofErr w:type="spellStart"/>
      <w:r>
        <w:t>marginalised</w:t>
      </w:r>
      <w:proofErr w:type="spellEnd"/>
      <w:r>
        <w:t xml:space="preserve"> constituencies.</w:t>
      </w:r>
    </w:p>
    <w:p w14:paraId="77994E87" w14:textId="77777777" w:rsidR="00DB1210" w:rsidRDefault="00FB1BF2">
      <w:pPr>
        <w:spacing w:before="260" w:after="140" w:line="320" w:lineRule="auto"/>
      </w:pPr>
      <w:r>
        <w:rPr>
          <w:b/>
          <w:bCs/>
          <w:color w:val="0F1E50"/>
          <w:sz w:val="26"/>
          <w:szCs w:val="26"/>
        </w:rPr>
        <w:t>PART VIII.   GRASSROOTS LOCALISATION, THE ROADMAP AND SUSTAINABILITY</w:t>
      </w:r>
    </w:p>
    <w:p w14:paraId="4F66778B" w14:textId="77777777" w:rsidR="00DB1210" w:rsidRDefault="00FB1BF2">
      <w:pPr>
        <w:spacing w:after="140" w:line="320" w:lineRule="auto"/>
        <w:jc w:val="both"/>
      </w:pPr>
      <w:r>
        <w:rPr>
          <w:b/>
          <w:bCs/>
          <w:color w:val="0F1E50"/>
        </w:rPr>
        <w:t xml:space="preserve">8.1. </w:t>
      </w:r>
      <w:r>
        <w:t>We commit that the regional commitments contained in this Statement, and any subsequent Protocol or instrument, shall be deliberately disseminated to the grassroots, through local leaders, civil society organisations, women’s groups, youth groups, schools, universities, professional bodies, bar associations, faith institutions and the media, in simple and accessible language and in local languages.</w:t>
      </w:r>
    </w:p>
    <w:p w14:paraId="2904FBEB" w14:textId="77777777" w:rsidR="00DB1210" w:rsidRDefault="00FB1BF2">
      <w:pPr>
        <w:spacing w:after="140" w:line="320" w:lineRule="auto"/>
        <w:jc w:val="both"/>
      </w:pPr>
      <w:r>
        <w:rPr>
          <w:b/>
          <w:bCs/>
          <w:color w:val="0F1E50"/>
        </w:rPr>
        <w:t xml:space="preserve">8.2. </w:t>
      </w:r>
      <w:r>
        <w:t xml:space="preserve">We endorse the importance of gender-disaggregated research and call upon academia, research institutions and the National Women’s Research and Documentation Centre to generate the evidence necessary to inform laws, policies and programmes, and to </w:t>
      </w:r>
      <w:proofErr w:type="spellStart"/>
      <w:r>
        <w:t>localise</w:t>
      </w:r>
      <w:proofErr w:type="spellEnd"/>
      <w:r>
        <w:t xml:space="preserve"> regional commitments to Partner State and community realities.</w:t>
      </w:r>
    </w:p>
    <w:p w14:paraId="3F4139D7" w14:textId="77777777" w:rsidR="00DB1210" w:rsidRDefault="00FB1BF2">
      <w:pPr>
        <w:spacing w:after="140" w:line="320" w:lineRule="auto"/>
        <w:jc w:val="both"/>
      </w:pPr>
      <w:r>
        <w:rPr>
          <w:b/>
          <w:bCs/>
          <w:color w:val="0F1E50"/>
        </w:rPr>
        <w:t xml:space="preserve">8.3. </w:t>
      </w:r>
      <w:r>
        <w:t>We adopt, as the companion instrument to this Statement, the 2026 to 2028 EAC Women’s Leadership Roadmap, with assigned responsibilities, measurable indicators, timelines and resource commitments endorsed by partner institutions.</w:t>
      </w:r>
    </w:p>
    <w:p w14:paraId="4454D448" w14:textId="77777777" w:rsidR="00DB1210" w:rsidRDefault="00FB1BF2">
      <w:pPr>
        <w:spacing w:after="140" w:line="320" w:lineRule="auto"/>
        <w:jc w:val="both"/>
      </w:pPr>
      <w:r>
        <w:rPr>
          <w:b/>
          <w:bCs/>
          <w:color w:val="0F1E50"/>
        </w:rPr>
        <w:t xml:space="preserve">8.4. </w:t>
      </w:r>
      <w:r>
        <w:t xml:space="preserve">We establish, with immediate effect, the EAC Women’s Intergenerational Dialogue Steering Committee, comprising representatives of the EALA Women’s Caucus, the EAC Secretariat, the </w:t>
      </w:r>
      <w:proofErr w:type="spellStart"/>
      <w:r>
        <w:t>Tengeru</w:t>
      </w:r>
      <w:proofErr w:type="spellEnd"/>
      <w:r>
        <w:t xml:space="preserve"> Institute for Community Development, and one civil society representative selected through a transparent and inclusive process, mandated to meet at least twice per year to oversee the implementation of this Statement and the accompanying Roadmap.</w:t>
      </w:r>
    </w:p>
    <w:p w14:paraId="0560AC92" w14:textId="77777777" w:rsidR="00DB1210" w:rsidRDefault="00FB1BF2">
      <w:pPr>
        <w:spacing w:after="140" w:line="320" w:lineRule="auto"/>
        <w:jc w:val="both"/>
      </w:pPr>
      <w:r>
        <w:rPr>
          <w:b/>
          <w:bCs/>
          <w:color w:val="0F1E50"/>
        </w:rPr>
        <w:t xml:space="preserve">8.5. </w:t>
      </w:r>
      <w:r>
        <w:t xml:space="preserve">We commit to a biennial reporting cycle, with the outcomes of this Statement integrated into the EAC Gender Progress Report and aligned with the Beijing Platform for Action, the African Union Agenda 2063, the Women, Peace and Security agenda, and the Sustainable Development Goals. We affirm the EAC Women’s Intergenerational Dialogue as a biennial event of the </w:t>
      </w:r>
      <w:proofErr w:type="gramStart"/>
      <w:r>
        <w:t>Community, and</w:t>
      </w:r>
      <w:proofErr w:type="gramEnd"/>
      <w:r>
        <w:t xml:space="preserve"> request the convening of the 3rd Intergenerational Dialogue in 2028.</w:t>
      </w:r>
    </w:p>
    <w:p w14:paraId="68C90B6B" w14:textId="77777777" w:rsidR="00DB1210" w:rsidRDefault="00FB1BF2">
      <w:pPr>
        <w:spacing w:before="260" w:after="140" w:line="320" w:lineRule="auto"/>
      </w:pPr>
      <w:r>
        <w:rPr>
          <w:b/>
          <w:bCs/>
          <w:color w:val="0F1E50"/>
          <w:sz w:val="26"/>
          <w:szCs w:val="26"/>
        </w:rPr>
        <w:t>PART IX.   PARTNERSHIPS, RESOURCING AND THE ROLE OF APEX BODIES</w:t>
      </w:r>
    </w:p>
    <w:p w14:paraId="03C7F26C" w14:textId="77777777" w:rsidR="00DB1210" w:rsidRDefault="00FB1BF2">
      <w:pPr>
        <w:spacing w:after="140" w:line="320" w:lineRule="auto"/>
        <w:jc w:val="both"/>
      </w:pPr>
      <w:r>
        <w:rPr>
          <w:b/>
          <w:bCs/>
          <w:color w:val="0F1E50"/>
        </w:rPr>
        <w:lastRenderedPageBreak/>
        <w:t xml:space="preserve">9.1. </w:t>
      </w:r>
      <w:r>
        <w:t xml:space="preserve">We acknowledge and commend the contribution of the Government of the Federal Republic of Germany and the Deutsche Gesellschaft für </w:t>
      </w:r>
      <w:proofErr w:type="spellStart"/>
      <w:r>
        <w:t>Internationale</w:t>
      </w:r>
      <w:proofErr w:type="spellEnd"/>
      <w:r>
        <w:t xml:space="preserve"> Zusammenarbeit (GIZ), of TICD, of the National Women’s Research and Documentation Centre, of the wellness and mental health community represented by Royal Healing Essence Wellness Centre and the Art of Living, of World Speech Day Women, of Women LEAD South Africa, and of the EAC apex bodies, to the convening and substance of this Dialogue.</w:t>
      </w:r>
    </w:p>
    <w:p w14:paraId="28ABD7F3" w14:textId="77777777" w:rsidR="00DB1210" w:rsidRDefault="00FB1BF2">
      <w:pPr>
        <w:spacing w:after="140" w:line="320" w:lineRule="auto"/>
        <w:jc w:val="both"/>
      </w:pPr>
      <w:r>
        <w:rPr>
          <w:b/>
          <w:bCs/>
          <w:color w:val="0F1E50"/>
        </w:rPr>
        <w:t xml:space="preserve">9.2. </w:t>
      </w:r>
      <w:r>
        <w:t xml:space="preserve">We call upon the EAC apex bodies, in particular the East African Business Council, the East African Civil Society </w:t>
      </w:r>
      <w:proofErr w:type="spellStart"/>
      <w:r>
        <w:t>Organisations’</w:t>
      </w:r>
      <w:proofErr w:type="spellEnd"/>
      <w:r>
        <w:t xml:space="preserve"> Forum, the East Africa Law Society, the East African County and Local Governments Association, the East African Trade Union Confederation, the East African Employers Organisation, the East African Women in Business Platform, the East African Youth Network, the East African Health Platform, and the Eastern Africa Child Rights Network, to integrate the priorities of this Statement i</w:t>
      </w:r>
      <w:r>
        <w:t>nto their respective workplans and to report annually to the Steering Committee.</w:t>
      </w:r>
    </w:p>
    <w:p w14:paraId="63886063" w14:textId="77777777" w:rsidR="00DB1210" w:rsidRDefault="00FB1BF2">
      <w:pPr>
        <w:spacing w:after="140" w:line="320" w:lineRule="auto"/>
        <w:jc w:val="both"/>
      </w:pPr>
      <w:r>
        <w:rPr>
          <w:b/>
          <w:bCs/>
          <w:color w:val="0F1E50"/>
        </w:rPr>
        <w:t xml:space="preserve">9.3. </w:t>
      </w:r>
      <w:r>
        <w:t xml:space="preserve">We commit to </w:t>
      </w:r>
      <w:proofErr w:type="spellStart"/>
      <w:r>
        <w:t>mobilising</w:t>
      </w:r>
      <w:proofErr w:type="spellEnd"/>
      <w:r>
        <w:t xml:space="preserve"> the financial, technical and institutional resources necessary to deliver this Statement, through dedicated partner pledging, integration into EAC budgetary processes, and continued engagement with the African Union Commission, UN Women, UNFPA, the African Development Bank, mobile network operators, technology companies and our wider partner community.</w:t>
      </w:r>
    </w:p>
    <w:p w14:paraId="01E6B160" w14:textId="77777777" w:rsidR="00DB1210" w:rsidRDefault="00FB1BF2">
      <w:pPr>
        <w:spacing w:before="260" w:after="160" w:line="320" w:lineRule="auto"/>
      </w:pPr>
      <w:r>
        <w:rPr>
          <w:b/>
          <w:bCs/>
          <w:color w:val="0F1E50"/>
          <w:sz w:val="28"/>
          <w:szCs w:val="28"/>
        </w:rPr>
        <w:t>OUR SHARED AFFIRMATION</w:t>
      </w:r>
    </w:p>
    <w:p w14:paraId="0A2F6993" w14:textId="77777777" w:rsidR="00DB1210" w:rsidRDefault="00FB1BF2">
      <w:pPr>
        <w:spacing w:after="180" w:line="320" w:lineRule="auto"/>
        <w:jc w:val="both"/>
      </w:pPr>
      <w:r>
        <w:rPr>
          <w:b/>
          <w:bCs/>
        </w:rPr>
        <w:t>We, the participants assembled in Arusha on the 25th and 26th of June 2026, having deliberated together for two days in the spirit of the East African Community, in the spirit of intergenerational solidarity, and in the spirit of the women and girls of the region whose lives this Statement is intended to serve, do hereby commit ourselves to the implementation of this Arusha Statement of Commitment on Women’s Leadership into the Future.</w:t>
      </w:r>
    </w:p>
    <w:p w14:paraId="57F1DAA2" w14:textId="77777777" w:rsidR="00DB1210" w:rsidRDefault="00FB1BF2">
      <w:pPr>
        <w:spacing w:after="180" w:line="320" w:lineRule="auto"/>
        <w:jc w:val="both"/>
      </w:pPr>
      <w:r>
        <w:rPr>
          <w:b/>
          <w:bCs/>
        </w:rPr>
        <w:t>We commit, with one voice, to return to Arusha in 2028 with measurable progress to report, with the unfinished work of the 1st Dialogue completed, and with the work of this Dialogue moved decisively from commitment to delivery.</w:t>
      </w:r>
    </w:p>
    <w:p w14:paraId="745D6C74" w14:textId="77777777" w:rsidR="00DB1210" w:rsidRDefault="00DB1210">
      <w:pPr>
        <w:spacing w:after="240"/>
      </w:pPr>
    </w:p>
    <w:p w14:paraId="3F169979" w14:textId="36B02E80" w:rsidR="00DB1210" w:rsidRDefault="00FB1BF2">
      <w:pPr>
        <w:jc w:val="center"/>
      </w:pPr>
      <w:r>
        <w:rPr>
          <w:i/>
          <w:iCs/>
          <w:color w:val="5A5A5A"/>
          <w:sz w:val="22"/>
          <w:szCs w:val="22"/>
        </w:rPr>
        <w:t>Issued at</w:t>
      </w:r>
      <w:r w:rsidR="00176C67">
        <w:rPr>
          <w:i/>
          <w:iCs/>
          <w:color w:val="5A5A5A"/>
          <w:sz w:val="22"/>
          <w:szCs w:val="22"/>
        </w:rPr>
        <w:t xml:space="preserve"> the EAC Headquarters</w:t>
      </w:r>
      <w:r>
        <w:rPr>
          <w:i/>
          <w:iCs/>
          <w:color w:val="5A5A5A"/>
          <w:sz w:val="22"/>
          <w:szCs w:val="22"/>
        </w:rPr>
        <w:t>, Arusha, this 26th day of June 2026.</w:t>
      </w:r>
    </w:p>
    <w:sectPr w:rsidR="00DB1210" w:rsidSect="00176C67">
      <w:headerReference w:type="default" r:id="rId7"/>
      <w:footerReference w:type="default" r:id="rId8"/>
      <w:pgSz w:w="12240" w:h="15840"/>
      <w:pgMar w:top="1700" w:right="1440" w:bottom="1440" w:left="1440" w:header="708" w:footer="5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3AE2" w14:textId="77777777" w:rsidR="00FB1BF2" w:rsidRDefault="00FB1BF2">
      <w:r>
        <w:separator/>
      </w:r>
    </w:p>
  </w:endnote>
  <w:endnote w:type="continuationSeparator" w:id="0">
    <w:p w14:paraId="6EDABF49" w14:textId="77777777" w:rsidR="00FB1BF2" w:rsidRDefault="00FB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45FB" w14:textId="787815B4" w:rsidR="00DB1210" w:rsidRDefault="00FB1BF2">
    <w:pPr>
      <w:jc w:val="center"/>
    </w:pPr>
    <w:r>
      <w:rPr>
        <w:color w:val="5A5A5A"/>
        <w:sz w:val="16"/>
        <w:szCs w:val="16"/>
      </w:rPr>
      <w:t xml:space="preserve">Outcome document of the 2nd EAC Women’s Intergenerational Dialogue, </w:t>
    </w:r>
    <w:r w:rsidR="00176C67">
      <w:rPr>
        <w:color w:val="5A5A5A"/>
        <w:sz w:val="16"/>
        <w:szCs w:val="16"/>
      </w:rPr>
      <w:t>the EAC Headquarters</w:t>
    </w:r>
    <w:r>
      <w:rPr>
        <w:color w:val="5A5A5A"/>
        <w:sz w:val="16"/>
        <w:szCs w:val="16"/>
      </w:rPr>
      <w:t xml:space="preserve">, Arusha  |  Page </w:t>
    </w:r>
    <w:r>
      <w:rPr>
        <w:color w:val="5A5A5A"/>
        <w:sz w:val="16"/>
        <w:szCs w:val="16"/>
      </w:rPr>
      <w:fldChar w:fldCharType="begin"/>
    </w:r>
    <w:r>
      <w:rPr>
        <w:color w:val="5A5A5A"/>
        <w:sz w:val="16"/>
        <w:szCs w:val="16"/>
      </w:rPr>
      <w:instrText>PAGE</w:instrText>
    </w:r>
    <w:r>
      <w:rPr>
        <w:color w:val="5A5A5A"/>
        <w:sz w:val="16"/>
        <w:szCs w:val="16"/>
      </w:rPr>
      <w:fldChar w:fldCharType="separate"/>
    </w:r>
    <w:r w:rsidR="00176C67">
      <w:rPr>
        <w:noProof/>
        <w:color w:val="5A5A5A"/>
        <w:sz w:val="16"/>
        <w:szCs w:val="16"/>
      </w:rPr>
      <w:t>1</w:t>
    </w:r>
    <w:r>
      <w:rPr>
        <w:color w:val="5A5A5A"/>
        <w:sz w:val="16"/>
        <w:szCs w:val="16"/>
      </w:rPr>
      <w:fldChar w:fldCharType="end"/>
    </w:r>
    <w:r>
      <w:rPr>
        <w:color w:val="5A5A5A"/>
        <w:sz w:val="16"/>
        <w:szCs w:val="16"/>
      </w:rPr>
      <w:t xml:space="preserve"> of </w:t>
    </w:r>
    <w:r>
      <w:rPr>
        <w:color w:val="5A5A5A"/>
        <w:sz w:val="16"/>
        <w:szCs w:val="16"/>
      </w:rPr>
      <w:fldChar w:fldCharType="begin"/>
    </w:r>
    <w:r>
      <w:rPr>
        <w:color w:val="5A5A5A"/>
        <w:sz w:val="16"/>
        <w:szCs w:val="16"/>
      </w:rPr>
      <w:instrText>NUMPAGES</w:instrText>
    </w:r>
    <w:r>
      <w:rPr>
        <w:color w:val="5A5A5A"/>
        <w:sz w:val="16"/>
        <w:szCs w:val="16"/>
      </w:rPr>
      <w:fldChar w:fldCharType="separate"/>
    </w:r>
    <w:r w:rsidR="00176C67">
      <w:rPr>
        <w:noProof/>
        <w:color w:val="5A5A5A"/>
        <w:sz w:val="16"/>
        <w:szCs w:val="16"/>
      </w:rPr>
      <w:t>2</w:t>
    </w:r>
    <w:r>
      <w:rPr>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A158" w14:textId="77777777" w:rsidR="00FB1BF2" w:rsidRDefault="00FB1BF2">
      <w:r>
        <w:separator/>
      </w:r>
    </w:p>
  </w:footnote>
  <w:footnote w:type="continuationSeparator" w:id="0">
    <w:p w14:paraId="01DD15F2" w14:textId="77777777" w:rsidR="00FB1BF2" w:rsidRDefault="00FB1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84A2" w14:textId="77777777" w:rsidR="00DB1210" w:rsidRDefault="00FB1BF2">
    <w:pPr>
      <w:spacing w:after="20"/>
      <w:jc w:val="center"/>
    </w:pPr>
    <w:r>
      <w:rPr>
        <w:b/>
        <w:bCs/>
        <w:color w:val="0F1E50"/>
        <w:sz w:val="20"/>
        <w:szCs w:val="20"/>
      </w:rPr>
      <w:t>EAST AFRICAN COMMUNITY  |  EAST AFRICAN LEGISLATIVE ASSEMBLY</w:t>
    </w:r>
  </w:p>
  <w:p w14:paraId="0FFF3776" w14:textId="77777777" w:rsidR="00DB1210" w:rsidRDefault="00FB1BF2">
    <w:pPr>
      <w:pBdr>
        <w:bottom w:val="single" w:sz="6" w:space="6" w:color="0F1E50"/>
      </w:pBdr>
      <w:spacing w:after="60"/>
      <w:jc w:val="center"/>
    </w:pPr>
    <w:r>
      <w:rPr>
        <w:i/>
        <w:iCs/>
        <w:color w:val="5A5A5A"/>
        <w:sz w:val="16"/>
        <w:szCs w:val="16"/>
      </w:rPr>
      <w:t>Arusha Statement of Commitment on Women’s Leadership into the Future  |  26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5BD5"/>
    <w:multiLevelType w:val="hybridMultilevel"/>
    <w:tmpl w:val="7A06D9B6"/>
    <w:lvl w:ilvl="0" w:tplc="C8EE0F72">
      <w:start w:val="1"/>
      <w:numFmt w:val="bullet"/>
      <w:lvlText w:val="●"/>
      <w:lvlJc w:val="left"/>
      <w:pPr>
        <w:ind w:left="720" w:hanging="360"/>
      </w:pPr>
    </w:lvl>
    <w:lvl w:ilvl="1" w:tplc="FA30A9A4">
      <w:start w:val="1"/>
      <w:numFmt w:val="bullet"/>
      <w:lvlText w:val="○"/>
      <w:lvlJc w:val="left"/>
      <w:pPr>
        <w:ind w:left="1440" w:hanging="360"/>
      </w:pPr>
    </w:lvl>
    <w:lvl w:ilvl="2" w:tplc="804A0442">
      <w:start w:val="1"/>
      <w:numFmt w:val="bullet"/>
      <w:lvlText w:val="■"/>
      <w:lvlJc w:val="left"/>
      <w:pPr>
        <w:ind w:left="2160" w:hanging="360"/>
      </w:pPr>
    </w:lvl>
    <w:lvl w:ilvl="3" w:tplc="AAA4D2E6">
      <w:start w:val="1"/>
      <w:numFmt w:val="bullet"/>
      <w:lvlText w:val="●"/>
      <w:lvlJc w:val="left"/>
      <w:pPr>
        <w:ind w:left="2880" w:hanging="360"/>
      </w:pPr>
    </w:lvl>
    <w:lvl w:ilvl="4" w:tplc="593A5F6C">
      <w:start w:val="1"/>
      <w:numFmt w:val="bullet"/>
      <w:lvlText w:val="○"/>
      <w:lvlJc w:val="left"/>
      <w:pPr>
        <w:ind w:left="3600" w:hanging="360"/>
      </w:pPr>
    </w:lvl>
    <w:lvl w:ilvl="5" w:tplc="210E7DBE">
      <w:start w:val="1"/>
      <w:numFmt w:val="bullet"/>
      <w:lvlText w:val="■"/>
      <w:lvlJc w:val="left"/>
      <w:pPr>
        <w:ind w:left="4320" w:hanging="360"/>
      </w:pPr>
    </w:lvl>
    <w:lvl w:ilvl="6" w:tplc="834C7AA2">
      <w:start w:val="1"/>
      <w:numFmt w:val="bullet"/>
      <w:lvlText w:val="●"/>
      <w:lvlJc w:val="left"/>
      <w:pPr>
        <w:ind w:left="5040" w:hanging="360"/>
      </w:pPr>
    </w:lvl>
    <w:lvl w:ilvl="7" w:tplc="24F665A2">
      <w:start w:val="1"/>
      <w:numFmt w:val="bullet"/>
      <w:lvlText w:val="●"/>
      <w:lvlJc w:val="left"/>
      <w:pPr>
        <w:ind w:left="5760" w:hanging="360"/>
      </w:pPr>
    </w:lvl>
    <w:lvl w:ilvl="8" w:tplc="6FB266CC">
      <w:start w:val="1"/>
      <w:numFmt w:val="bullet"/>
      <w:lvlText w:val="●"/>
      <w:lvlJc w:val="left"/>
      <w:pPr>
        <w:ind w:left="6480" w:hanging="360"/>
      </w:pPr>
    </w:lvl>
  </w:abstractNum>
  <w:num w:numId="1" w16cid:durableId="20525310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210"/>
    <w:rsid w:val="00176C67"/>
    <w:rsid w:val="001F32AB"/>
    <w:rsid w:val="00DB1210"/>
    <w:rsid w:val="00FB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9D200"/>
  <w15:docId w15:val="{3AFDBE25-DB50-4845-B312-E3DD5920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76C67"/>
    <w:pPr>
      <w:tabs>
        <w:tab w:val="center" w:pos="4680"/>
        <w:tab w:val="right" w:pos="9360"/>
      </w:tabs>
    </w:pPr>
  </w:style>
  <w:style w:type="character" w:customStyle="1" w:styleId="HeaderChar">
    <w:name w:val="Header Char"/>
    <w:basedOn w:val="DefaultParagraphFont"/>
    <w:link w:val="Header"/>
    <w:uiPriority w:val="99"/>
    <w:rsid w:val="00176C67"/>
  </w:style>
  <w:style w:type="paragraph" w:styleId="Footer">
    <w:name w:val="footer"/>
    <w:basedOn w:val="Normal"/>
    <w:link w:val="FooterChar"/>
    <w:uiPriority w:val="99"/>
    <w:unhideWhenUsed/>
    <w:rsid w:val="00176C67"/>
    <w:pPr>
      <w:tabs>
        <w:tab w:val="center" w:pos="4680"/>
        <w:tab w:val="right" w:pos="9360"/>
      </w:tabs>
    </w:pPr>
  </w:style>
  <w:style w:type="character" w:customStyle="1" w:styleId="FooterChar">
    <w:name w:val="Footer Char"/>
    <w:basedOn w:val="DefaultParagraphFont"/>
    <w:link w:val="Footer"/>
    <w:uiPriority w:val="99"/>
    <w:rsid w:val="0017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2474</Words>
  <Characters>14919</Characters>
  <Application>Microsoft Office Word</Application>
  <DocSecurity>0</DocSecurity>
  <Lines>392</Lines>
  <Paragraphs>347</Paragraphs>
  <ScaleCrop>false</ScaleCrop>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Arusha Statement of Commitment on Women’s Leadership into the Future</dc:title>
  <dc:creator>EALA Women’s Caucus / Office of the Clerk</dc:creator>
  <cp:lastModifiedBy>Socionest EA</cp:lastModifiedBy>
  <cp:revision>2</cp:revision>
  <dcterms:created xsi:type="dcterms:W3CDTF">2026-06-26T11:41:00Z</dcterms:created>
  <dcterms:modified xsi:type="dcterms:W3CDTF">2026-06-26T11:41:00Z</dcterms:modified>
</cp:coreProperties>
</file>